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附件4：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napToGrid w:val="0"/>
        <w:spacing w:line="360" w:lineRule="auto"/>
        <w:jc w:val="left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36"/>
          <w:szCs w:val="36"/>
          <w:lang w:val="en-US" w:eastAsia="zh-CN"/>
        </w:rPr>
        <w:t>许昌陶瓷职业学院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学生家庭经济情况量化测评指标体系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院系：         年级专业：             学号：       姓名：</w:t>
      </w:r>
    </w:p>
    <w:tbl>
      <w:tblPr>
        <w:tblStyle w:val="6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82"/>
        <w:gridCol w:w="571"/>
        <w:gridCol w:w="4076"/>
        <w:gridCol w:w="537"/>
        <w:gridCol w:w="37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主要观测点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参考权重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1.烈士子女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家庭经济困难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2.孤儿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无经济来源、无社会福利机构收养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3.学生生源地(15分)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3.1东部地区（10）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东部地区的城镇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东部省份:辽宁、北京、天津、河北、上海、江苏、浙江、福建、山东、广东、海南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东部地区乡村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东部地区国家级贫困县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3.2中部地区（12）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中部地区的城镇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中部省份:吉林、黑龙江、山西、安徽、江西、河南、湖北、湖南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中部地区的乡村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中部地区的国家级贫困县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3.3西部地区(15) 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西部地区的城镇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西部省份:内蒙、广西、重庆、四川、贵州、云南、西藏、陕西、甘肃、青海、宁夏、新疆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西部地区的乡村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西部地区的国家级贫困县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4.学生家庭主要成员状况（40分）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4.1父母双亲健康状况（20分）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单亲家庭,父（母）身体健康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单亲家庭,父（母）近期患一般性疾病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单亲家庭,父（母）长期患病（慢性病）或残疾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单亲家庭,父（母）遭遇车祸等重大突发事件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单亲家庭,父（母）长期（突发）患重大疾病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双亲家庭，父母双方均身体健康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双亲家庭，父母一方近期患一般性疾病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双亲家庭，父母一方长期患病（慢性病）或残疾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双亲家庭，父母一方遭遇车祸等重大特发事件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双亲家庭，父母一方长期（突发）患重大疾病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双亲家庭，父母双方均近期患一般性疾病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双亲家庭，父母双方均长期患病（慢性病）或残疾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双亲家庭，父母双方均遭遇车祸等重大特发事件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双亲家庭，父母双方均长期（突发）患重大疾病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其他特殊情况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0-6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4.2多子女家庭（10分，有2个及以上子女，不含已结婚、独立生活的子女）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其他子女均已就业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其他子女已不上学，但均无工作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其他子女有的在上学，也有不上学但无工作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其他子女均在上学（有的在接受义务教育）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其他子女均在接受非义务教育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其他子女有患疾病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其他子女有长期患病（慢性病），或残疾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其他子女有遭遇车祸等重大突发事件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其他子女有长期（突发）患重大疾病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4.3赡养老人（10分，祖父母、外祖父母）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家庭需共同赡养1-2位老人，老人均身体健康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家庭需共同赡养1-2位老人，但有老人患重大疾病或常年患病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家庭需共同赡养3-4位老人，老人均身体健康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家庭需共同赡养3-4位老人，但有老人患重大疾病或常年患病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家庭需独立赡养1-2位老人，老人均身体健康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家庭需独立赡养1-2位老人，但有老人患重大疾病或常年患病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家庭需独立赡养3-4位老人，老人均身体健康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家庭需独立赡养3-4位老人，但有老人患重大疾病或常年患病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其他特殊情况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0-4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5.学生家庭收入情况（45分）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5.1工作能力及收入（40分）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父母双方均有工作，但收入低于当地最低收入标准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1、纯农户是指家庭除农业收入外，没有其他的收入来源;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2、若为单亲家庭，符合所列选项的，按照所列分值+3分计分，但最高得分为40分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纯农户，父母一方务农，另一方在外务工，或双方均在外务工，收入低于当地最低收入标准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纯农户，父母双方均务农，收入低于当地最低收入标准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纯农户，父母双方均务农，且耕地少，自然环境恶劣，收入极其有限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父母一方下岗或无固定工作，无稳定收入来源，另一方收入低于当地最低收入标准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父母双下岗或无固定工作，无稳定收入来源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父母一方劳动能力差（残疾等），另一方收入低于当地最低收入标准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父母一方无劳动能力，另一方收入低于当地最低收入标准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父母双方均劳动能力差（残疾等）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父母双方均无劳动能力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0-15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5.2低保户、特困职工户（5分）</w:t>
            </w:r>
          </w:p>
        </w:tc>
        <w:tc>
          <w:tcPr>
            <w:tcW w:w="40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低保户、特困职工户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6.附加项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6.1学生本人健康状况（20分）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残疾、长期患病（慢性病）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遭遇车祸重大突发事件、造成较严重的伤害或长期（突发）患重大疾病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6.2家庭遭遇自然灾害等（50分）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家庭遭遇重大自然灾害，如：地震、泥石流、洪灾、雪灾、旱灾等，造成重大损失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（根据受灾损失情况给分，但最高50分）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0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800" w:bottom="1440" w:left="180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9442A"/>
    <w:rsid w:val="68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