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54E7D">
      <w:pPr>
        <w:rPr>
          <w:rFonts w:ascii="宋体" w:hAnsi="宋体"/>
          <w:b/>
          <w:sz w:val="28"/>
          <w:szCs w:val="28"/>
        </w:rPr>
      </w:pPr>
    </w:p>
    <w:p w14:paraId="10871D8C">
      <w:pPr>
        <w:rPr>
          <w:rFonts w:ascii="宋体" w:hAnsi="宋体"/>
          <w:b/>
          <w:sz w:val="28"/>
          <w:szCs w:val="28"/>
        </w:rPr>
      </w:pPr>
    </w:p>
    <w:p w14:paraId="612BDBC8">
      <w:pPr>
        <w:rPr>
          <w:rFonts w:ascii="宋体" w:hAnsi="宋体"/>
          <w:b/>
          <w:sz w:val="28"/>
          <w:szCs w:val="28"/>
        </w:rPr>
      </w:pPr>
    </w:p>
    <w:p w14:paraId="36575072">
      <w:pPr>
        <w:jc w:val="center"/>
        <w:rPr>
          <w:rFonts w:ascii="宋体" w:hAnsi="宋体"/>
          <w:b/>
          <w:sz w:val="48"/>
          <w:szCs w:val="48"/>
        </w:rPr>
      </w:pPr>
      <w:r>
        <w:rPr>
          <w:rFonts w:hint="eastAsia" w:ascii="宋体" w:hAnsi="宋体"/>
          <w:b/>
          <w:sz w:val="48"/>
          <w:szCs w:val="48"/>
        </w:rPr>
        <w:t>许昌陶瓷职业学院</w:t>
      </w:r>
    </w:p>
    <w:p w14:paraId="333B05F6">
      <w:pPr>
        <w:jc w:val="center"/>
        <w:rPr>
          <w:rFonts w:ascii="宋体" w:hAnsi="宋体"/>
          <w:b/>
          <w:sz w:val="48"/>
          <w:szCs w:val="48"/>
        </w:rPr>
      </w:pPr>
    </w:p>
    <w:p w14:paraId="693A4EA7">
      <w:pPr>
        <w:jc w:val="center"/>
        <w:rPr>
          <w:rFonts w:ascii="宋体" w:hAnsi="宋体"/>
          <w:b/>
          <w:color w:val="FF0000"/>
          <w:sz w:val="24"/>
        </w:rPr>
      </w:pPr>
      <w:r>
        <w:rPr>
          <w:rFonts w:hint="eastAsia" w:ascii="宋体" w:hAnsi="宋体"/>
          <w:b/>
          <w:sz w:val="48"/>
          <w:szCs w:val="48"/>
        </w:rPr>
        <w:t>智慧健康养老服务与管理专业人才培养方案</w:t>
      </w:r>
    </w:p>
    <w:p w14:paraId="1867B322">
      <w:pPr>
        <w:jc w:val="center"/>
        <w:rPr>
          <w:rFonts w:ascii="宋体" w:hAnsi="宋体"/>
          <w:b/>
          <w:color w:val="FF0000"/>
          <w:sz w:val="24"/>
        </w:rPr>
      </w:pPr>
    </w:p>
    <w:p w14:paraId="0023E92F">
      <w:pPr>
        <w:jc w:val="center"/>
        <w:rPr>
          <w:rFonts w:ascii="宋体" w:hAnsi="宋体"/>
          <w:b/>
          <w:sz w:val="44"/>
          <w:szCs w:val="44"/>
        </w:rPr>
      </w:pPr>
    </w:p>
    <w:p w14:paraId="57E1CFD7">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教 学 院 部：</w:t>
      </w:r>
      <w:r>
        <w:rPr>
          <w:rFonts w:hint="eastAsia" w:ascii="方正小标宋简体" w:hAnsi="方正小标宋简体" w:eastAsia="方正小标宋简体" w:cs="方正小标宋简体"/>
          <w:sz w:val="32"/>
          <w:szCs w:val="32"/>
          <w:u w:val="single"/>
        </w:rPr>
        <w:t xml:space="preserve">   智慧康养与人文教育学院    </w:t>
      </w:r>
    </w:p>
    <w:p w14:paraId="7D477026">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执  笔  人：</w:t>
      </w:r>
      <w:r>
        <w:rPr>
          <w:rFonts w:hint="eastAsia" w:ascii="方正小标宋简体" w:hAnsi="方正小标宋简体" w:eastAsia="方正小标宋简体" w:cs="方正小标宋简体"/>
          <w:sz w:val="32"/>
          <w:szCs w:val="32"/>
          <w:u w:val="single"/>
        </w:rPr>
        <w:t xml:space="preserve">            张亚杰            </w:t>
      </w:r>
    </w:p>
    <w:p w14:paraId="384E2995">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编 制 团 队：</w:t>
      </w:r>
      <w:r>
        <w:rPr>
          <w:rFonts w:hint="eastAsia" w:ascii="方正小标宋简体" w:hAnsi="方正小标宋简体" w:eastAsia="方正小标宋简体" w:cs="方正小标宋简体"/>
          <w:sz w:val="32"/>
          <w:szCs w:val="32"/>
          <w:u w:val="single"/>
          <w:lang w:val="en-US" w:eastAsia="zh-CN"/>
        </w:rPr>
        <w:t xml:space="preserve">   郑晓冬、张亚杰、段凯旋   </w:t>
      </w:r>
      <w:r>
        <w:rPr>
          <w:rFonts w:hint="eastAsia" w:ascii="方正小标宋简体" w:hAnsi="方正小标宋简体" w:eastAsia="方正小标宋简体" w:cs="方正小标宋简体"/>
          <w:sz w:val="32"/>
          <w:szCs w:val="32"/>
          <w:u w:val="single"/>
        </w:rPr>
        <w:t xml:space="preserve"> </w:t>
      </w:r>
    </w:p>
    <w:p w14:paraId="0F225C1D">
      <w:pPr>
        <w:adjustRightInd w:val="0"/>
        <w:snapToGrid w:val="0"/>
        <w:spacing w:before="312" w:beforeLines="100" w:after="156" w:afterLines="50"/>
        <w:ind w:firstLine="1280" w:firstLineChars="400"/>
        <w:outlineLvl w:val="0"/>
        <w:rPr>
          <w:rFonts w:hint="default" w:ascii="方正小标宋简体" w:hAnsi="方正小标宋简体" w:eastAsia="方正小标宋简体" w:cs="方正小标宋简体"/>
          <w:sz w:val="32"/>
          <w:szCs w:val="32"/>
          <w:u w:val="single"/>
          <w:lang w:val="en-US" w:eastAsia="zh-CN"/>
        </w:rPr>
      </w:pPr>
      <w:r>
        <w:rPr>
          <w:rFonts w:hint="eastAsia" w:ascii="方正小标宋简体" w:hAnsi="方正小标宋简体" w:eastAsia="方正小标宋简体" w:cs="方正小标宋简体"/>
          <w:sz w:val="32"/>
          <w:szCs w:val="32"/>
        </w:rPr>
        <w:t>参与行业企业：</w:t>
      </w:r>
      <w:r>
        <w:rPr>
          <w:rFonts w:hint="eastAsia" w:ascii="方正小标宋简体" w:hAnsi="方正小标宋简体" w:eastAsia="方正小标宋简体" w:cs="方正小标宋简体"/>
          <w:sz w:val="32"/>
          <w:szCs w:val="32"/>
          <w:u w:val="single"/>
          <w:lang w:val="en-US" w:eastAsia="zh-CN"/>
        </w:rPr>
        <w:t xml:space="preserve">         鄢陵医院           </w:t>
      </w:r>
    </w:p>
    <w:p w14:paraId="562EB07A">
      <w:pPr>
        <w:pStyle w:val="2"/>
        <w:rPr>
          <w:rFonts w:hint="default" w:eastAsia="方正小标宋简体"/>
          <w:lang w:val="en-US" w:eastAsia="zh-CN"/>
        </w:rPr>
      </w:pPr>
      <w:r>
        <w:rPr>
          <w:rFonts w:hint="eastAsia" w:eastAsia="方正小标宋简体"/>
          <w:lang w:val="en-US" w:eastAsia="zh-CN"/>
        </w:rPr>
        <w:t xml:space="preserve">                                 </w:t>
      </w:r>
      <w:r>
        <w:rPr>
          <w:rFonts w:hint="eastAsia" w:ascii="方正小标宋简体" w:hAnsi="方正小标宋简体" w:eastAsia="方正小标宋简体" w:cs="方正小标宋简体"/>
          <w:sz w:val="32"/>
          <w:szCs w:val="32"/>
          <w:u w:val="single"/>
        </w:rPr>
        <w:t>许昌市怡康苑养老服务有限公司</w:t>
      </w:r>
    </w:p>
    <w:p w14:paraId="11A9F48B">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行业企业人员：</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罗小兵、姚培科</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w:t>
      </w:r>
    </w:p>
    <w:p w14:paraId="2A492AA9">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编 制 日 期：</w:t>
      </w:r>
      <w:r>
        <w:rPr>
          <w:rFonts w:hint="eastAsia" w:ascii="方正小标宋简体" w:hAnsi="方正小标宋简体" w:eastAsia="方正小标宋简体" w:cs="方正小标宋简体"/>
          <w:sz w:val="32"/>
          <w:szCs w:val="32"/>
          <w:u w:val="single"/>
        </w:rPr>
        <w:t xml:space="preserve">         2025年6月         </w:t>
      </w:r>
    </w:p>
    <w:p w14:paraId="260EAA7F">
      <w:pPr>
        <w:spacing w:before="312" w:beforeLines="100" w:after="156" w:afterLines="50" w:line="360" w:lineRule="auto"/>
        <w:rPr>
          <w:sz w:val="32"/>
          <w:szCs w:val="32"/>
        </w:rPr>
      </w:pPr>
    </w:p>
    <w:p w14:paraId="3A8508B5">
      <w:pPr>
        <w:adjustRightInd w:val="0"/>
        <w:snapToGrid w:val="0"/>
        <w:spacing w:before="156" w:beforeLines="50" w:line="360" w:lineRule="auto"/>
        <w:jc w:val="center"/>
        <w:outlineLvl w:val="0"/>
        <w:rPr>
          <w:b/>
          <w:bCs/>
          <w:sz w:val="32"/>
          <w:szCs w:val="32"/>
        </w:rPr>
      </w:pPr>
      <w:bookmarkStart w:id="0" w:name="_Toc12733"/>
      <w:bookmarkStart w:id="1" w:name="_Toc4414"/>
      <w:bookmarkStart w:id="2" w:name="_Toc30766"/>
      <w:r>
        <w:rPr>
          <w:rFonts w:hint="eastAsia"/>
          <w:b/>
          <w:bCs/>
          <w:sz w:val="32"/>
          <w:szCs w:val="32"/>
        </w:rPr>
        <w:t>教务处编</w:t>
      </w:r>
      <w:bookmarkEnd w:id="0"/>
      <w:bookmarkEnd w:id="1"/>
      <w:bookmarkEnd w:id="2"/>
    </w:p>
    <w:p w14:paraId="60C5A456">
      <w:pPr>
        <w:spacing w:before="312" w:beforeLines="100" w:after="156" w:afterLines="50" w:line="360" w:lineRule="auto"/>
        <w:jc w:val="center"/>
        <w:outlineLvl w:val="0"/>
        <w:rPr>
          <w:b/>
          <w:bCs/>
          <w:sz w:val="32"/>
          <w:szCs w:val="32"/>
        </w:rPr>
      </w:pPr>
      <w:bookmarkStart w:id="3" w:name="_Toc10876"/>
      <w:bookmarkStart w:id="4" w:name="_Toc5144"/>
      <w:r>
        <w:rPr>
          <w:rFonts w:hint="eastAsia"/>
          <w:b/>
          <w:bCs/>
          <w:sz w:val="32"/>
          <w:szCs w:val="32"/>
        </w:rPr>
        <w:t>二〇二五年六月</w:t>
      </w:r>
      <w:bookmarkEnd w:id="3"/>
      <w:bookmarkEnd w:id="4"/>
    </w:p>
    <w:p w14:paraId="1C90C89E">
      <w:pPr>
        <w:adjustRightInd w:val="0"/>
        <w:snapToGrid w:val="0"/>
        <w:spacing w:before="624" w:beforeLines="200" w:after="312" w:afterLines="100" w:line="400" w:lineRule="exact"/>
        <w:jc w:val="center"/>
        <w:rPr>
          <w:rFonts w:ascii="黑体" w:hAnsi="黑体" w:eastAsia="黑体" w:cs="黑体"/>
          <w:sz w:val="44"/>
          <w:szCs w:val="44"/>
        </w:rPr>
        <w:sectPr>
          <w:headerReference r:id="rId3" w:type="default"/>
          <w:pgSz w:w="11906" w:h="16838"/>
          <w:pgMar w:top="1134" w:right="1418" w:bottom="1134" w:left="1418" w:header="851" w:footer="992" w:gutter="0"/>
          <w:pgNumType w:start="1"/>
          <w:cols w:space="720" w:num="1"/>
          <w:titlePg/>
          <w:docGrid w:type="lines" w:linePitch="312" w:charSpace="0"/>
        </w:sectPr>
      </w:pPr>
    </w:p>
    <w:p w14:paraId="06C973D0">
      <w:pPr>
        <w:jc w:val="center"/>
        <w:rPr>
          <w:rFonts w:ascii="宋体" w:hAnsi="宋体" w:cs="宋体"/>
          <w:b/>
          <w:sz w:val="44"/>
          <w:szCs w:val="44"/>
        </w:rPr>
      </w:pPr>
      <w:r>
        <w:rPr>
          <w:rFonts w:hint="eastAsia" w:ascii="宋体" w:hAnsi="宋体" w:cs="宋体"/>
          <w:b/>
          <w:sz w:val="44"/>
          <w:szCs w:val="44"/>
        </w:rPr>
        <w:t>许昌陶瓷职业学院</w:t>
      </w:r>
    </w:p>
    <w:p w14:paraId="5B794DB7">
      <w:pPr>
        <w:jc w:val="center"/>
        <w:rPr>
          <w:rFonts w:ascii="宋体" w:hAnsi="宋体" w:cs="宋体"/>
          <w:b/>
          <w:sz w:val="44"/>
          <w:szCs w:val="44"/>
        </w:rPr>
      </w:pPr>
      <w:r>
        <w:rPr>
          <w:rFonts w:hint="eastAsia" w:ascii="宋体" w:hAnsi="宋体" w:cs="宋体"/>
          <w:b/>
          <w:sz w:val="44"/>
          <w:szCs w:val="44"/>
        </w:rPr>
        <w:t>2025级智慧健康养老服务与管理专业人才培养方案</w:t>
      </w:r>
    </w:p>
    <w:p w14:paraId="454BF49D">
      <w:pPr>
        <w:jc w:val="center"/>
        <w:rPr>
          <w:sz w:val="32"/>
          <w:szCs w:val="32"/>
        </w:rPr>
      </w:pPr>
    </w:p>
    <w:p w14:paraId="12140625">
      <w:pPr>
        <w:pStyle w:val="3"/>
        <w:pageBreakBefore w:val="0"/>
        <w:kinsoku/>
        <w:wordWrap/>
        <w:overflowPunct/>
        <w:topLinePunct w:val="0"/>
        <w:bidi w:val="0"/>
        <w:snapToGrid/>
        <w:spacing w:before="0" w:beforeLines="0" w:after="0" w:afterLines="0" w:line="360" w:lineRule="exact"/>
        <w:ind w:firstLine="482"/>
        <w:textAlignment w:val="auto"/>
        <w:rPr>
          <w:rFonts w:hint="default" w:ascii="Times New Roman" w:hAnsi="Times New Roman"/>
          <w:kern w:val="2"/>
          <w:sz w:val="24"/>
          <w:szCs w:val="24"/>
        </w:rPr>
      </w:pPr>
      <w:bookmarkStart w:id="5" w:name="_Toc26091"/>
      <w:bookmarkStart w:id="6" w:name="_Toc31560"/>
      <w:bookmarkStart w:id="7" w:name="_Toc20535"/>
      <w:bookmarkStart w:id="8" w:name="_Toc364078377"/>
      <w:r>
        <w:rPr>
          <w:rFonts w:ascii="Times New Roman" w:hAnsi="Times New Roman"/>
          <w:kern w:val="2"/>
          <w:sz w:val="24"/>
          <w:szCs w:val="24"/>
        </w:rPr>
        <w:t>一、专业名称及专业代码</w:t>
      </w:r>
      <w:bookmarkEnd w:id="5"/>
      <w:bookmarkEnd w:id="6"/>
      <w:bookmarkEnd w:id="7"/>
    </w:p>
    <w:p w14:paraId="68C7DE76">
      <w:pPr>
        <w:pageBreakBefore w:val="0"/>
        <w:kinsoku/>
        <w:wordWrap/>
        <w:overflowPunct/>
        <w:topLinePunct w:val="0"/>
        <w:bidi w:val="0"/>
        <w:snapToGrid/>
        <w:spacing w:line="360" w:lineRule="exact"/>
        <w:ind w:firstLine="420" w:firstLineChars="200"/>
        <w:textAlignment w:val="auto"/>
        <w:rPr>
          <w:rFonts w:ascii="宋体" w:hAnsi="宋体" w:cs="宋体"/>
        </w:rPr>
      </w:pPr>
      <w:bookmarkStart w:id="9" w:name="_Toc2265"/>
      <w:bookmarkStart w:id="10" w:name="_Toc18827"/>
      <w:bookmarkStart w:id="11" w:name="_Toc15758"/>
      <w:r>
        <w:rPr>
          <w:rFonts w:hint="eastAsia" w:ascii="宋体" w:hAnsi="宋体" w:cs="宋体"/>
        </w:rPr>
        <w:t>专业名称：</w:t>
      </w:r>
      <w:r>
        <w:rPr>
          <w:rFonts w:hint="eastAsia" w:ascii="宋体" w:hAnsi="宋体" w:cs="宋体"/>
          <w:szCs w:val="21"/>
        </w:rPr>
        <w:t>智慧健康养老服务与管理</w:t>
      </w:r>
    </w:p>
    <w:p w14:paraId="3FD0ACBC">
      <w:pPr>
        <w:pageBreakBefore w:val="0"/>
        <w:widowControl/>
        <w:kinsoku/>
        <w:wordWrap/>
        <w:overflowPunct/>
        <w:topLinePunct w:val="0"/>
        <w:bidi w:val="0"/>
        <w:snapToGrid/>
        <w:spacing w:line="360" w:lineRule="exact"/>
        <w:ind w:firstLine="420" w:firstLineChars="200"/>
        <w:jc w:val="left"/>
        <w:textAlignment w:val="auto"/>
        <w:rPr>
          <w:rFonts w:ascii="宋体" w:hAnsi="宋体" w:cs="宋体"/>
          <w:color w:val="0000FF"/>
        </w:rPr>
      </w:pPr>
      <w:r>
        <w:rPr>
          <w:rFonts w:hint="eastAsia" w:ascii="宋体" w:hAnsi="宋体" w:cs="宋体"/>
        </w:rPr>
        <w:t>专业代码：</w:t>
      </w:r>
      <w:r>
        <w:rPr>
          <w:rFonts w:hint="eastAsia" w:ascii="宋体" w:hAnsi="宋体" w:cs="宋体"/>
          <w:szCs w:val="21"/>
        </w:rPr>
        <w:t>590302</w:t>
      </w:r>
    </w:p>
    <w:p w14:paraId="27E6A42A">
      <w:pPr>
        <w:pStyle w:val="3"/>
        <w:pageBreakBefore w:val="0"/>
        <w:kinsoku/>
        <w:wordWrap/>
        <w:overflowPunct/>
        <w:topLinePunct w:val="0"/>
        <w:bidi w:val="0"/>
        <w:adjustRightInd/>
        <w:snapToGrid/>
        <w:spacing w:before="0" w:beforeLines="0" w:after="0" w:afterLines="0" w:line="360" w:lineRule="exact"/>
        <w:ind w:firstLine="482"/>
        <w:textAlignment w:val="auto"/>
        <w:rPr>
          <w:rFonts w:hint="default" w:ascii="Times New Roman" w:hAnsi="Times New Roman"/>
          <w:kern w:val="2"/>
          <w:sz w:val="24"/>
          <w:szCs w:val="24"/>
        </w:rPr>
      </w:pPr>
      <w:r>
        <w:rPr>
          <w:rFonts w:ascii="Times New Roman" w:hAnsi="Times New Roman"/>
          <w:kern w:val="2"/>
          <w:sz w:val="24"/>
          <w:szCs w:val="24"/>
        </w:rPr>
        <w:t>二、入学要求</w:t>
      </w:r>
      <w:bookmarkEnd w:id="9"/>
      <w:bookmarkEnd w:id="10"/>
      <w:bookmarkEnd w:id="11"/>
    </w:p>
    <w:bookmarkEnd w:id="8"/>
    <w:p w14:paraId="6D5A8D87">
      <w:pPr>
        <w:pageBreakBefore w:val="0"/>
        <w:widowControl/>
        <w:kinsoku/>
        <w:wordWrap/>
        <w:overflowPunct/>
        <w:topLinePunct w:val="0"/>
        <w:bidi w:val="0"/>
        <w:snapToGrid/>
        <w:spacing w:line="360" w:lineRule="exact"/>
        <w:ind w:firstLine="420" w:firstLineChars="200"/>
        <w:jc w:val="left"/>
        <w:textAlignment w:val="auto"/>
        <w:rPr>
          <w:rFonts w:ascii="宋体" w:hAnsi="宋体" w:cs="宋体"/>
          <w:szCs w:val="21"/>
        </w:rPr>
      </w:pPr>
      <w:r>
        <w:rPr>
          <w:rFonts w:hint="eastAsia" w:ascii="宋体" w:hAnsi="宋体" w:cs="宋体"/>
          <w:szCs w:val="21"/>
        </w:rPr>
        <w:t>中等职业学校毕业、普通高级中学毕业或具备同等学力</w:t>
      </w:r>
    </w:p>
    <w:p w14:paraId="225BEC87">
      <w:pPr>
        <w:pStyle w:val="3"/>
        <w:pageBreakBefore w:val="0"/>
        <w:kinsoku/>
        <w:wordWrap/>
        <w:overflowPunct/>
        <w:topLinePunct w:val="0"/>
        <w:bidi w:val="0"/>
        <w:snapToGrid/>
        <w:spacing w:before="0" w:beforeLines="0" w:after="0" w:afterLines="0" w:line="360" w:lineRule="exact"/>
        <w:ind w:firstLine="482"/>
        <w:textAlignment w:val="auto"/>
        <w:rPr>
          <w:rFonts w:hint="default" w:ascii="Times New Roman" w:hAnsi="Times New Roman"/>
          <w:kern w:val="2"/>
          <w:sz w:val="24"/>
          <w:szCs w:val="24"/>
        </w:rPr>
      </w:pPr>
      <w:bookmarkStart w:id="12" w:name="_Toc17378"/>
      <w:bookmarkStart w:id="13" w:name="_Toc21516"/>
      <w:bookmarkStart w:id="14" w:name="_Toc20700"/>
      <w:r>
        <w:rPr>
          <w:rFonts w:ascii="Times New Roman" w:hAnsi="Times New Roman"/>
          <w:kern w:val="2"/>
          <w:sz w:val="24"/>
          <w:szCs w:val="24"/>
        </w:rPr>
        <w:t>三、修业年限</w:t>
      </w:r>
      <w:bookmarkEnd w:id="12"/>
      <w:bookmarkEnd w:id="13"/>
      <w:bookmarkEnd w:id="14"/>
    </w:p>
    <w:p w14:paraId="6F90DB81">
      <w:pPr>
        <w:pageBreakBefore w:val="0"/>
        <w:widowControl/>
        <w:kinsoku/>
        <w:wordWrap/>
        <w:overflowPunct/>
        <w:topLinePunct w:val="0"/>
        <w:bidi w:val="0"/>
        <w:snapToGrid/>
        <w:spacing w:line="360" w:lineRule="exact"/>
        <w:ind w:firstLine="420" w:firstLineChars="200"/>
        <w:jc w:val="left"/>
        <w:textAlignment w:val="auto"/>
        <w:rPr>
          <w:rFonts w:ascii="Arial" w:hAnsi="Arial"/>
          <w:bCs/>
          <w:color w:val="000000"/>
          <w:szCs w:val="21"/>
        </w:rPr>
      </w:pPr>
      <w:r>
        <w:rPr>
          <w:rFonts w:hint="eastAsia" w:ascii="Arial" w:hAnsi="Arial"/>
          <w:bCs/>
          <w:color w:val="000000"/>
          <w:szCs w:val="21"/>
        </w:rPr>
        <w:t>三年</w:t>
      </w:r>
    </w:p>
    <w:p w14:paraId="238D4C18">
      <w:pPr>
        <w:pStyle w:val="3"/>
        <w:pageBreakBefore w:val="0"/>
        <w:kinsoku/>
        <w:wordWrap/>
        <w:overflowPunct/>
        <w:topLinePunct w:val="0"/>
        <w:bidi w:val="0"/>
        <w:snapToGrid/>
        <w:spacing w:before="0" w:beforeLines="0" w:after="0" w:afterLines="0" w:line="360" w:lineRule="exact"/>
        <w:ind w:firstLine="482"/>
        <w:textAlignment w:val="auto"/>
        <w:rPr>
          <w:rFonts w:hint="default" w:cs="宋体"/>
          <w:color w:val="000000"/>
        </w:rPr>
      </w:pPr>
      <w:bookmarkStart w:id="15" w:name="_Toc3032"/>
      <w:bookmarkStart w:id="16" w:name="_Toc9441"/>
      <w:bookmarkStart w:id="17" w:name="_Toc623"/>
      <w:r>
        <w:rPr>
          <w:rFonts w:ascii="Times New Roman" w:hAnsi="Times New Roman"/>
          <w:kern w:val="2"/>
          <w:sz w:val="24"/>
          <w:szCs w:val="24"/>
        </w:rPr>
        <w:t>四、职业面向</w:t>
      </w:r>
      <w:bookmarkEnd w:id="15"/>
      <w:bookmarkEnd w:id="16"/>
      <w:bookmarkEnd w:id="17"/>
    </w:p>
    <w:tbl>
      <w:tblPr>
        <w:tblStyle w:val="15"/>
        <w:tblW w:w="438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6083"/>
      </w:tblGrid>
      <w:tr w14:paraId="54BF6A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559D89A7">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所属专业大类（代码）</w:t>
            </w:r>
          </w:p>
        </w:tc>
        <w:tc>
          <w:tcPr>
            <w:tcW w:w="3733" w:type="pct"/>
            <w:tcBorders>
              <w:top w:val="single" w:color="auto" w:sz="4" w:space="0"/>
              <w:left w:val="single" w:color="auto" w:sz="4" w:space="0"/>
              <w:bottom w:val="single" w:color="auto" w:sz="4" w:space="0"/>
              <w:right w:val="single" w:color="auto" w:sz="4" w:space="0"/>
            </w:tcBorders>
            <w:vAlign w:val="center"/>
          </w:tcPr>
          <w:p w14:paraId="3EB0DFAF">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bCs/>
                <w:sz w:val="18"/>
                <w:szCs w:val="18"/>
              </w:rPr>
              <w:t>公共管理与服务大类（59）</w:t>
            </w:r>
          </w:p>
        </w:tc>
      </w:tr>
      <w:tr w14:paraId="123D35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49B09DC5">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所属专业类（代码）</w:t>
            </w:r>
          </w:p>
        </w:tc>
        <w:tc>
          <w:tcPr>
            <w:tcW w:w="3733" w:type="pct"/>
            <w:tcBorders>
              <w:top w:val="single" w:color="auto" w:sz="4" w:space="0"/>
              <w:left w:val="single" w:color="auto" w:sz="4" w:space="0"/>
              <w:bottom w:val="single" w:color="auto" w:sz="4" w:space="0"/>
              <w:right w:val="single" w:color="auto" w:sz="4" w:space="0"/>
            </w:tcBorders>
            <w:vAlign w:val="center"/>
          </w:tcPr>
          <w:p w14:paraId="09B57EE4">
            <w:pPr>
              <w:pStyle w:val="6"/>
              <w:keepNext w:val="0"/>
              <w:keepLines w:val="0"/>
              <w:pageBreakBefore w:val="0"/>
              <w:kinsoku/>
              <w:wordWrap/>
              <w:overflowPunct/>
              <w:topLinePunct w:val="0"/>
              <w:bidi w:val="0"/>
              <w:snapToGrid/>
              <w:spacing w:line="360" w:lineRule="exact"/>
              <w:jc w:val="left"/>
              <w:textAlignment w:val="auto"/>
              <w:outlineLvl w:val="3"/>
              <w:rPr>
                <w:rFonts w:ascii="宋体" w:hAnsi="宋体" w:cs="宋体"/>
                <w:b w:val="0"/>
                <w:bCs/>
                <w:color w:val="4874CB" w:themeColor="accent1"/>
                <w:sz w:val="18"/>
                <w:szCs w:val="18"/>
                <w14:textFill>
                  <w14:solidFill>
                    <w14:schemeClr w14:val="accent1"/>
                  </w14:solidFill>
                </w14:textFill>
              </w:rPr>
            </w:pPr>
            <w:r>
              <w:rPr>
                <w:rFonts w:hint="eastAsia" w:ascii="宋体" w:hAnsi="宋体" w:cs="宋体"/>
                <w:b w:val="0"/>
                <w:bCs/>
                <w:color w:val="auto"/>
                <w:sz w:val="18"/>
                <w:szCs w:val="18"/>
              </w:rPr>
              <w:t>公共服务类（5903）</w:t>
            </w:r>
          </w:p>
        </w:tc>
      </w:tr>
      <w:tr w14:paraId="5A62C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697B321B">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对应行业（代码）</w:t>
            </w:r>
          </w:p>
        </w:tc>
        <w:tc>
          <w:tcPr>
            <w:tcW w:w="3733" w:type="pct"/>
            <w:tcBorders>
              <w:top w:val="single" w:color="auto" w:sz="4" w:space="0"/>
              <w:left w:val="single" w:color="auto" w:sz="4" w:space="0"/>
              <w:bottom w:val="single" w:color="auto" w:sz="4" w:space="0"/>
              <w:right w:val="single" w:color="auto" w:sz="4" w:space="0"/>
            </w:tcBorders>
            <w:vAlign w:val="center"/>
          </w:tcPr>
          <w:p w14:paraId="41F98F04">
            <w:pPr>
              <w:pStyle w:val="6"/>
              <w:keepNext w:val="0"/>
              <w:keepLines w:val="0"/>
              <w:pageBreakBefore w:val="0"/>
              <w:kinsoku/>
              <w:wordWrap/>
              <w:overflowPunct/>
              <w:topLinePunct w:val="0"/>
              <w:bidi w:val="0"/>
              <w:snapToGrid/>
              <w:spacing w:line="360" w:lineRule="exact"/>
              <w:jc w:val="left"/>
              <w:textAlignment w:val="auto"/>
              <w:outlineLvl w:val="3"/>
              <w:rPr>
                <w:rFonts w:ascii="宋体" w:hAnsi="宋体" w:cs="宋体"/>
                <w:b w:val="0"/>
                <w:bCs/>
                <w:color w:val="4874CB" w:themeColor="accent1"/>
                <w:sz w:val="18"/>
                <w:szCs w:val="18"/>
                <w14:textFill>
                  <w14:solidFill>
                    <w14:schemeClr w14:val="accent1"/>
                  </w14:solidFill>
                </w14:textFill>
              </w:rPr>
            </w:pPr>
            <w:r>
              <w:rPr>
                <w:rFonts w:hint="eastAsia" w:ascii="宋体" w:hAnsi="宋体" w:cs="宋体"/>
                <w:b w:val="0"/>
                <w:bCs/>
                <w:color w:val="auto"/>
                <w:sz w:val="18"/>
                <w:szCs w:val="18"/>
                <w:lang w:val="en-US" w:eastAsia="zh-CN"/>
              </w:rPr>
              <w:t>社会工作</w:t>
            </w:r>
            <w:r>
              <w:rPr>
                <w:rFonts w:hint="eastAsia" w:ascii="宋体" w:hAnsi="宋体" w:cs="宋体"/>
                <w:b w:val="0"/>
                <w:bCs/>
                <w:color w:val="auto"/>
                <w:sz w:val="18"/>
                <w:szCs w:val="18"/>
              </w:rPr>
              <w:t>（8</w:t>
            </w:r>
            <w:r>
              <w:rPr>
                <w:rFonts w:hint="eastAsia" w:ascii="宋体" w:hAnsi="宋体" w:cs="宋体"/>
                <w:b w:val="0"/>
                <w:bCs/>
                <w:color w:val="auto"/>
                <w:sz w:val="18"/>
                <w:szCs w:val="18"/>
                <w:lang w:val="en-US" w:eastAsia="zh-CN"/>
              </w:rPr>
              <w:t>5</w:t>
            </w:r>
            <w:r>
              <w:rPr>
                <w:rFonts w:hint="eastAsia" w:ascii="宋体" w:hAnsi="宋体" w:cs="宋体"/>
                <w:b w:val="0"/>
                <w:bCs/>
                <w:color w:val="auto"/>
                <w:sz w:val="18"/>
                <w:szCs w:val="18"/>
              </w:rPr>
              <w:t>）</w:t>
            </w:r>
          </w:p>
        </w:tc>
      </w:tr>
      <w:tr w14:paraId="4331E4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28E78B74">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主要职业类别（代码）</w:t>
            </w:r>
          </w:p>
        </w:tc>
        <w:tc>
          <w:tcPr>
            <w:tcW w:w="3733" w:type="pct"/>
            <w:tcBorders>
              <w:top w:val="single" w:color="auto" w:sz="4" w:space="0"/>
              <w:left w:val="single" w:color="auto" w:sz="4" w:space="0"/>
              <w:bottom w:val="single" w:color="auto" w:sz="4" w:space="0"/>
              <w:right w:val="single" w:color="auto" w:sz="4" w:space="0"/>
            </w:tcBorders>
            <w:vAlign w:val="center"/>
          </w:tcPr>
          <w:p w14:paraId="58C60E37">
            <w:pPr>
              <w:pageBreakBefore w:val="0"/>
              <w:kinsoku/>
              <w:wordWrap/>
              <w:overflowPunct/>
              <w:topLinePunct w:val="0"/>
              <w:bidi w:val="0"/>
              <w:snapToGrid/>
              <w:spacing w:line="360" w:lineRule="exact"/>
              <w:jc w:val="left"/>
              <w:textAlignment w:val="auto"/>
              <w:rPr>
                <w:rFonts w:ascii="宋体" w:hAnsi="宋体" w:cs="宋体"/>
                <w:sz w:val="18"/>
                <w:szCs w:val="18"/>
              </w:rPr>
            </w:pPr>
            <w:r>
              <w:rPr>
                <w:rFonts w:hint="eastAsia" w:ascii="宋体" w:hAnsi="宋体" w:cs="宋体"/>
                <w:sz w:val="18"/>
                <w:szCs w:val="18"/>
                <w:lang w:val="en-US" w:eastAsia="zh-CN"/>
              </w:rPr>
              <w:t>健康照护师</w:t>
            </w:r>
            <w:r>
              <w:rPr>
                <w:rFonts w:hint="eastAsia" w:ascii="宋体" w:hAnsi="宋体" w:cs="宋体"/>
                <w:sz w:val="18"/>
                <w:szCs w:val="18"/>
              </w:rPr>
              <w:t>（</w:t>
            </w:r>
            <w:r>
              <w:rPr>
                <w:rFonts w:hint="eastAsia" w:ascii="宋体" w:hAnsi="宋体" w:cs="宋体"/>
                <w:sz w:val="18"/>
                <w:szCs w:val="18"/>
                <w:lang w:val="en-US" w:eastAsia="zh-CN"/>
              </w:rPr>
              <w:t>4-14-01-03</w:t>
            </w:r>
            <w:r>
              <w:rPr>
                <w:rFonts w:hint="eastAsia" w:ascii="宋体" w:hAnsi="宋体" w:cs="宋体"/>
                <w:sz w:val="18"/>
                <w:szCs w:val="18"/>
              </w:rPr>
              <w:t>）</w:t>
            </w:r>
          </w:p>
          <w:p w14:paraId="6ACC38FB">
            <w:pPr>
              <w:pageBreakBefore w:val="0"/>
              <w:kinsoku/>
              <w:wordWrap/>
              <w:overflowPunct/>
              <w:topLinePunct w:val="0"/>
              <w:bidi w:val="0"/>
              <w:snapToGrid/>
              <w:spacing w:line="360" w:lineRule="exact"/>
              <w:jc w:val="left"/>
              <w:textAlignment w:val="auto"/>
              <w:rPr>
                <w:rFonts w:ascii="宋体" w:hAnsi="宋体" w:cs="宋体"/>
                <w:sz w:val="18"/>
                <w:szCs w:val="18"/>
              </w:rPr>
            </w:pPr>
            <w:r>
              <w:rPr>
                <w:rFonts w:hint="eastAsia" w:ascii="宋体" w:hAnsi="宋体" w:cs="宋体"/>
                <w:sz w:val="18"/>
                <w:szCs w:val="18"/>
              </w:rPr>
              <w:t>健康管理师（4-14-02-02）</w:t>
            </w:r>
          </w:p>
          <w:p w14:paraId="0635548F">
            <w:pPr>
              <w:pageBreakBefore w:val="0"/>
              <w:kinsoku/>
              <w:wordWrap/>
              <w:overflowPunct/>
              <w:topLinePunct w:val="0"/>
              <w:bidi w:val="0"/>
              <w:snapToGrid/>
              <w:spacing w:line="360" w:lineRule="exact"/>
              <w:jc w:val="left"/>
              <w:textAlignment w:val="auto"/>
              <w:rPr>
                <w:rFonts w:ascii="宋体" w:hAnsi="宋体" w:cs="宋体"/>
                <w:bCs/>
                <w:color w:val="4874CB" w:themeColor="accent1"/>
                <w:sz w:val="18"/>
                <w:szCs w:val="18"/>
                <w14:textFill>
                  <w14:solidFill>
                    <w14:schemeClr w14:val="accent1"/>
                  </w14:solidFill>
                </w14:textFill>
              </w:rPr>
            </w:pPr>
            <w:r>
              <w:rPr>
                <w:rFonts w:hint="eastAsia" w:ascii="宋体" w:hAnsi="宋体" w:cs="宋体"/>
                <w:sz w:val="18"/>
                <w:szCs w:val="18"/>
                <w:lang w:val="en-US" w:eastAsia="zh-CN"/>
              </w:rPr>
              <w:t>老年人能力评估师</w:t>
            </w:r>
            <w:r>
              <w:rPr>
                <w:rFonts w:hint="eastAsia" w:ascii="宋体" w:hAnsi="宋体" w:cs="宋体"/>
                <w:sz w:val="18"/>
                <w:szCs w:val="18"/>
              </w:rPr>
              <w:t>（</w:t>
            </w:r>
            <w:r>
              <w:rPr>
                <w:rFonts w:hint="eastAsia" w:ascii="宋体" w:hAnsi="宋体" w:cs="宋体"/>
                <w:sz w:val="18"/>
                <w:szCs w:val="18"/>
                <w:lang w:val="en-US" w:eastAsia="zh-CN"/>
              </w:rPr>
              <w:t>4-14-02-05</w:t>
            </w:r>
            <w:r>
              <w:rPr>
                <w:rFonts w:hint="eastAsia" w:ascii="宋体" w:hAnsi="宋体" w:cs="宋体"/>
                <w:sz w:val="18"/>
                <w:szCs w:val="18"/>
              </w:rPr>
              <w:t>）</w:t>
            </w:r>
          </w:p>
        </w:tc>
      </w:tr>
      <w:tr w14:paraId="2EF8C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356359DE">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主要岗位（群）或技术领域</w:t>
            </w:r>
          </w:p>
        </w:tc>
        <w:tc>
          <w:tcPr>
            <w:tcW w:w="3733" w:type="pct"/>
            <w:tcBorders>
              <w:top w:val="single" w:color="auto" w:sz="4" w:space="0"/>
              <w:left w:val="single" w:color="auto" w:sz="4" w:space="0"/>
              <w:bottom w:val="single" w:color="auto" w:sz="4" w:space="0"/>
              <w:right w:val="single" w:color="auto" w:sz="4" w:space="0"/>
            </w:tcBorders>
            <w:vAlign w:val="center"/>
          </w:tcPr>
          <w:p w14:paraId="261BDF34">
            <w:pPr>
              <w:pStyle w:val="6"/>
              <w:keepNext w:val="0"/>
              <w:keepLines w:val="0"/>
              <w:pageBreakBefore w:val="0"/>
              <w:kinsoku/>
              <w:wordWrap/>
              <w:overflowPunct/>
              <w:topLinePunct w:val="0"/>
              <w:bidi w:val="0"/>
              <w:snapToGrid/>
              <w:spacing w:line="360" w:lineRule="exact"/>
              <w:jc w:val="left"/>
              <w:textAlignment w:val="auto"/>
              <w:outlineLvl w:val="3"/>
              <w:rPr>
                <w:rFonts w:ascii="宋体" w:hAnsi="宋体" w:cs="宋体"/>
                <w:b w:val="0"/>
                <w:bCs/>
                <w:color w:val="4874CB" w:themeColor="accent1"/>
                <w:sz w:val="18"/>
                <w:szCs w:val="18"/>
                <w14:textFill>
                  <w14:solidFill>
                    <w14:schemeClr w14:val="accent1"/>
                  </w14:solidFill>
                </w14:textFill>
              </w:rPr>
            </w:pPr>
            <w:r>
              <w:rPr>
                <w:rFonts w:hint="eastAsia" w:ascii="宋体" w:hAnsi="宋体" w:cs="宋体"/>
                <w:b w:val="0"/>
                <w:bCs/>
                <w:color w:val="auto"/>
                <w:sz w:val="18"/>
                <w:szCs w:val="18"/>
              </w:rPr>
              <w:t>老年社会工作、老年人护理保健、安全防护、日常照护、常见救护、用药照护、心理照护、应急救护、安宁照护、健康咨询</w:t>
            </w:r>
          </w:p>
        </w:tc>
      </w:tr>
      <w:tr w14:paraId="0AF719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4D19BF98">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职业类证书举例</w:t>
            </w:r>
          </w:p>
        </w:tc>
        <w:tc>
          <w:tcPr>
            <w:tcW w:w="3733" w:type="pct"/>
            <w:tcBorders>
              <w:top w:val="single" w:color="auto" w:sz="4" w:space="0"/>
              <w:left w:val="single" w:color="auto" w:sz="4" w:space="0"/>
              <w:bottom w:val="single" w:color="auto" w:sz="4" w:space="0"/>
              <w:right w:val="single" w:color="auto" w:sz="4" w:space="0"/>
            </w:tcBorders>
            <w:vAlign w:val="center"/>
          </w:tcPr>
          <w:p w14:paraId="469980A1">
            <w:pPr>
              <w:pStyle w:val="6"/>
              <w:keepNext w:val="0"/>
              <w:keepLines w:val="0"/>
              <w:pageBreakBefore w:val="0"/>
              <w:kinsoku/>
              <w:wordWrap/>
              <w:overflowPunct/>
              <w:topLinePunct w:val="0"/>
              <w:bidi w:val="0"/>
              <w:snapToGrid/>
              <w:spacing w:line="360" w:lineRule="exact"/>
              <w:jc w:val="left"/>
              <w:textAlignment w:val="auto"/>
              <w:outlineLvl w:val="3"/>
              <w:rPr>
                <w:rFonts w:ascii="宋体" w:hAnsi="宋体" w:cs="宋体"/>
                <w:b w:val="0"/>
                <w:bCs/>
                <w:color w:val="4874CB" w:themeColor="accent1"/>
                <w:sz w:val="18"/>
                <w:szCs w:val="18"/>
                <w14:textFill>
                  <w14:solidFill>
                    <w14:schemeClr w14:val="accent1"/>
                  </w14:solidFill>
                </w14:textFill>
              </w:rPr>
            </w:pPr>
            <w:r>
              <w:rPr>
                <w:rFonts w:hint="eastAsia" w:ascii="宋体" w:hAnsi="宋体" w:cs="宋体"/>
                <w:b w:val="0"/>
                <w:bCs/>
                <w:color w:val="auto"/>
                <w:sz w:val="18"/>
                <w:szCs w:val="18"/>
              </w:rPr>
              <w:t>健康管理师、康复保健师、心理咨询师、 公共营养师</w:t>
            </w:r>
          </w:p>
        </w:tc>
      </w:tr>
    </w:tbl>
    <w:p w14:paraId="43CEEAAF">
      <w:pPr>
        <w:pStyle w:val="3"/>
        <w:pageBreakBefore w:val="0"/>
        <w:kinsoku/>
        <w:wordWrap/>
        <w:overflowPunct/>
        <w:topLinePunct w:val="0"/>
        <w:bidi w:val="0"/>
        <w:snapToGrid/>
        <w:spacing w:before="0" w:beforeLines="0" w:after="0" w:afterLines="0" w:line="360" w:lineRule="exact"/>
        <w:ind w:firstLine="482"/>
        <w:textAlignment w:val="auto"/>
        <w:rPr>
          <w:rFonts w:hint="default" w:ascii="Times New Roman" w:hAnsi="Times New Roman"/>
          <w:kern w:val="2"/>
          <w:sz w:val="24"/>
          <w:szCs w:val="24"/>
        </w:rPr>
      </w:pPr>
      <w:r>
        <w:rPr>
          <w:rFonts w:ascii="Times New Roman" w:hAnsi="Times New Roman"/>
          <w:kern w:val="2"/>
          <w:sz w:val="24"/>
          <w:szCs w:val="24"/>
        </w:rPr>
        <w:t>五、培养目标与培养规格</w:t>
      </w:r>
    </w:p>
    <w:p w14:paraId="696EE420">
      <w:pPr>
        <w:pStyle w:val="4"/>
        <w:pageBreakBefore w:val="0"/>
        <w:kinsoku/>
        <w:wordWrap/>
        <w:overflowPunct/>
        <w:topLinePunct w:val="0"/>
        <w:bidi w:val="0"/>
        <w:adjustRightInd w:val="0"/>
        <w:snapToGrid/>
        <w:spacing w:before="0" w:beforeLines="0" w:after="0" w:afterLines="0" w:line="360" w:lineRule="exact"/>
        <w:ind w:firstLine="422" w:firstLineChars="200"/>
        <w:textAlignment w:val="auto"/>
        <w:rPr>
          <w:rFonts w:ascii="宋体" w:hAnsi="宋体" w:cs="宋体"/>
          <w:sz w:val="21"/>
          <w:szCs w:val="21"/>
        </w:rPr>
      </w:pPr>
      <w:bookmarkStart w:id="18" w:name="_Toc31884"/>
      <w:bookmarkStart w:id="19" w:name="_Toc8908"/>
      <w:r>
        <w:rPr>
          <w:rFonts w:hint="eastAsia" w:ascii="宋体" w:hAnsi="宋体" w:cs="宋体"/>
          <w:sz w:val="21"/>
          <w:szCs w:val="21"/>
        </w:rPr>
        <w:t>（一）培养目标</w:t>
      </w:r>
      <w:bookmarkEnd w:id="18"/>
      <w:bookmarkEnd w:id="19"/>
    </w:p>
    <w:p w14:paraId="471EC250">
      <w:pPr>
        <w:pageBreakBefore w:val="0"/>
        <w:kinsoku/>
        <w:wordWrap/>
        <w:overflowPunct/>
        <w:topLinePunct w:val="0"/>
        <w:bidi w:val="0"/>
        <w:adjustRightInd w:val="0"/>
        <w:snapToGrid/>
        <w:spacing w:line="360" w:lineRule="exact"/>
        <w:ind w:firstLine="420" w:firstLineChars="200"/>
        <w:textAlignment w:val="auto"/>
        <w:rPr>
          <w:rFonts w:hint="eastAsia" w:ascii="宋体" w:hAnsi="宋体" w:cs="宋体"/>
        </w:rPr>
      </w:pPr>
      <w:r>
        <w:rPr>
          <w:rFonts w:hint="eastAsia" w:ascii="宋体" w:hAnsi="宋体" w:cs="宋体"/>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w:t>
      </w:r>
      <w:r>
        <w:rPr>
          <w:rFonts w:hint="eastAsia" w:ascii="宋体" w:hAnsi="宋体" w:cs="宋体"/>
          <w:lang w:val="en-US" w:eastAsia="zh-CN"/>
        </w:rPr>
        <w:t>社会公共服务行业</w:t>
      </w:r>
      <w:r>
        <w:rPr>
          <w:rFonts w:hint="eastAsia" w:ascii="宋体" w:hAnsi="宋体" w:cs="宋体"/>
        </w:rPr>
        <w:t>，能够从事老年社会工作、老年人护理保健、日常照护、常见救护、用药照护、心理照护</w:t>
      </w:r>
      <w:r>
        <w:rPr>
          <w:rFonts w:hint="eastAsia" w:ascii="宋体" w:hAnsi="宋体" w:cs="宋体"/>
          <w:lang w:eastAsia="zh-CN"/>
        </w:rPr>
        <w:t>、</w:t>
      </w:r>
      <w:r>
        <w:rPr>
          <w:rFonts w:hint="eastAsia" w:ascii="宋体" w:hAnsi="宋体" w:cs="宋体"/>
        </w:rPr>
        <w:t>健康咨询等工作的高技能人才。</w:t>
      </w:r>
    </w:p>
    <w:p w14:paraId="0AB44895">
      <w:pPr>
        <w:pStyle w:val="4"/>
        <w:pageBreakBefore w:val="0"/>
        <w:kinsoku/>
        <w:wordWrap/>
        <w:overflowPunct/>
        <w:topLinePunct w:val="0"/>
        <w:bidi w:val="0"/>
        <w:adjustRightInd w:val="0"/>
        <w:snapToGrid/>
        <w:spacing w:before="0" w:beforeLines="0" w:after="0" w:afterLines="0" w:line="360" w:lineRule="exact"/>
        <w:ind w:firstLine="422" w:firstLineChars="200"/>
        <w:textAlignment w:val="auto"/>
      </w:pPr>
      <w:bookmarkStart w:id="20" w:name="_Toc7335"/>
      <w:bookmarkStart w:id="21" w:name="_Toc25925"/>
      <w:r>
        <w:rPr>
          <w:rFonts w:hint="eastAsia" w:ascii="宋体" w:hAnsi="宋体" w:cs="宋体"/>
          <w:sz w:val="21"/>
          <w:szCs w:val="21"/>
        </w:rPr>
        <w:t>（二）培养规格</w:t>
      </w:r>
      <w:bookmarkEnd w:id="20"/>
      <w:bookmarkEnd w:id="21"/>
    </w:p>
    <w:p w14:paraId="527C672B">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本专业毕业生应在素质、知识和能力等方面达到以下要求。</w:t>
      </w:r>
    </w:p>
    <w:tbl>
      <w:tblPr>
        <w:tblStyle w:val="15"/>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704"/>
        <w:gridCol w:w="5752"/>
        <w:gridCol w:w="2394"/>
      </w:tblGrid>
      <w:tr w14:paraId="35EA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68" w:type="dxa"/>
            <w:vAlign w:val="center"/>
          </w:tcPr>
          <w:p w14:paraId="6658D28A">
            <w:pPr>
              <w:pageBreakBefore w:val="0"/>
              <w:kinsoku/>
              <w:wordWrap/>
              <w:overflowPunct/>
              <w:topLinePunct w:val="0"/>
              <w:bidi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培养规格</w:t>
            </w:r>
          </w:p>
        </w:tc>
        <w:tc>
          <w:tcPr>
            <w:tcW w:w="704" w:type="dxa"/>
            <w:vAlign w:val="center"/>
          </w:tcPr>
          <w:p w14:paraId="106AF97A">
            <w:pPr>
              <w:pageBreakBefore w:val="0"/>
              <w:kinsoku/>
              <w:wordWrap/>
              <w:overflowPunct/>
              <w:topLinePunct w:val="0"/>
              <w:bidi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构成要素</w:t>
            </w:r>
          </w:p>
        </w:tc>
        <w:tc>
          <w:tcPr>
            <w:tcW w:w="5752" w:type="dxa"/>
            <w:vAlign w:val="center"/>
          </w:tcPr>
          <w:p w14:paraId="4283FCC2">
            <w:pPr>
              <w:pageBreakBefore w:val="0"/>
              <w:kinsoku/>
              <w:wordWrap/>
              <w:overflowPunct/>
              <w:topLinePunct w:val="0"/>
              <w:bidi w:val="0"/>
              <w:snapToGrid/>
              <w:spacing w:line="360" w:lineRule="exact"/>
              <w:ind w:firstLine="422"/>
              <w:jc w:val="center"/>
              <w:textAlignment w:val="auto"/>
              <w:rPr>
                <w:rFonts w:ascii="宋体" w:hAnsi="宋体" w:cs="宋体"/>
                <w:b/>
                <w:bCs/>
                <w:sz w:val="21"/>
                <w:szCs w:val="21"/>
              </w:rPr>
            </w:pPr>
            <w:r>
              <w:rPr>
                <w:rFonts w:hint="eastAsia" w:ascii="宋体" w:hAnsi="宋体" w:cs="宋体"/>
                <w:b/>
                <w:bCs/>
                <w:sz w:val="21"/>
                <w:szCs w:val="21"/>
              </w:rPr>
              <w:t>目标与要求</w:t>
            </w:r>
          </w:p>
        </w:tc>
        <w:tc>
          <w:tcPr>
            <w:tcW w:w="2394" w:type="dxa"/>
            <w:vAlign w:val="center"/>
          </w:tcPr>
          <w:p w14:paraId="4F8DC86B">
            <w:pPr>
              <w:pageBreakBefore w:val="0"/>
              <w:kinsoku/>
              <w:wordWrap/>
              <w:overflowPunct/>
              <w:topLinePunct w:val="0"/>
              <w:bidi w:val="0"/>
              <w:adjustRightInd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途径与措施</w:t>
            </w:r>
          </w:p>
        </w:tc>
      </w:tr>
      <w:tr w14:paraId="0F4F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668" w:type="dxa"/>
            <w:vMerge w:val="restart"/>
            <w:vAlign w:val="center"/>
          </w:tcPr>
          <w:p w14:paraId="1669E69F">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知</w:t>
            </w:r>
          </w:p>
          <w:p w14:paraId="316A1167">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识</w:t>
            </w:r>
          </w:p>
          <w:p w14:paraId="31D27219">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结</w:t>
            </w:r>
          </w:p>
          <w:p w14:paraId="12F05259">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构</w:t>
            </w:r>
          </w:p>
          <w:p w14:paraId="270FBAC1">
            <w:pPr>
              <w:pageBreakBefore w:val="0"/>
              <w:kinsoku/>
              <w:wordWrap/>
              <w:overflowPunct/>
              <w:topLinePunct w:val="0"/>
              <w:bidi w:val="0"/>
              <w:snapToGrid/>
              <w:spacing w:line="360" w:lineRule="exact"/>
              <w:jc w:val="center"/>
              <w:textAlignment w:val="auto"/>
              <w:rPr>
                <w:rFonts w:ascii="宋体" w:hAnsi="宋体" w:cs="宋体"/>
                <w:b/>
                <w:bCs/>
                <w:sz w:val="18"/>
                <w:szCs w:val="18"/>
              </w:rPr>
            </w:pPr>
          </w:p>
        </w:tc>
        <w:tc>
          <w:tcPr>
            <w:tcW w:w="704" w:type="dxa"/>
            <w:vAlign w:val="center"/>
          </w:tcPr>
          <w:p w14:paraId="46A52698">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公</w:t>
            </w:r>
          </w:p>
          <w:p w14:paraId="796E7B3B">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共</w:t>
            </w:r>
          </w:p>
          <w:p w14:paraId="2A56DD81">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基</w:t>
            </w:r>
          </w:p>
          <w:p w14:paraId="3134C978">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础</w:t>
            </w:r>
          </w:p>
          <w:p w14:paraId="2FB87EB5">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知</w:t>
            </w:r>
          </w:p>
          <w:p w14:paraId="17465696">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识</w:t>
            </w:r>
          </w:p>
        </w:tc>
        <w:tc>
          <w:tcPr>
            <w:tcW w:w="5752" w:type="dxa"/>
            <w:vAlign w:val="center"/>
          </w:tcPr>
          <w:p w14:paraId="35A167BE">
            <w:pPr>
              <w:pStyle w:val="6"/>
              <w:pageBreakBefore w:val="0"/>
              <w:kinsoku/>
              <w:wordWrap/>
              <w:overflowPunct/>
              <w:topLinePunct w:val="0"/>
              <w:bidi w:val="0"/>
              <w:snapToGrid/>
              <w:spacing w:line="360" w:lineRule="exact"/>
              <w:textAlignment w:val="auto"/>
              <w:outlineLvl w:val="3"/>
              <w:rPr>
                <w:rFonts w:ascii="宋体" w:hAnsi="宋体" w:cs="宋体"/>
                <w:b w:val="0"/>
                <w:color w:val="auto"/>
                <w:sz w:val="18"/>
                <w:szCs w:val="18"/>
              </w:rPr>
            </w:pPr>
            <w:r>
              <w:rPr>
                <w:rFonts w:ascii="宋体" w:hAnsi="宋体" w:cs="宋体"/>
                <w:b w:val="0"/>
                <w:color w:val="auto"/>
                <w:sz w:val="18"/>
                <w:szCs w:val="18"/>
              </w:rPr>
              <w:t>（1）</w:t>
            </w:r>
            <w:r>
              <w:rPr>
                <w:rFonts w:hint="eastAsia" w:ascii="宋体" w:hAnsi="宋体" w:cs="宋体"/>
                <w:b w:val="0"/>
                <w:color w:val="auto"/>
                <w:sz w:val="18"/>
                <w:szCs w:val="18"/>
              </w:rPr>
              <w:t>掌握毛泽东思想、邓小平理论、“三个代表”重要思想、科学发展观、习近平新时代中国特色社会主义思想；</w:t>
            </w:r>
          </w:p>
          <w:p w14:paraId="4BDDFFBE">
            <w:pPr>
              <w:pStyle w:val="6"/>
              <w:pageBreakBefore w:val="0"/>
              <w:kinsoku/>
              <w:wordWrap/>
              <w:overflowPunct/>
              <w:topLinePunct w:val="0"/>
              <w:bidi w:val="0"/>
              <w:snapToGrid/>
              <w:spacing w:line="360" w:lineRule="exact"/>
              <w:textAlignment w:val="auto"/>
              <w:outlineLvl w:val="3"/>
              <w:rPr>
                <w:rFonts w:ascii="宋体" w:hAnsi="宋体" w:cs="宋体"/>
                <w:b w:val="0"/>
                <w:color w:val="auto"/>
                <w:sz w:val="18"/>
                <w:szCs w:val="18"/>
              </w:rPr>
            </w:pPr>
            <w:r>
              <w:rPr>
                <w:rFonts w:ascii="宋体" w:hAnsi="宋体" w:cs="宋体"/>
                <w:b w:val="0"/>
                <w:color w:val="auto"/>
                <w:sz w:val="18"/>
                <w:szCs w:val="18"/>
              </w:rPr>
              <w:t>（2）</w:t>
            </w:r>
            <w:r>
              <w:rPr>
                <w:rFonts w:hint="eastAsia" w:ascii="宋体" w:hAnsi="宋体" w:cs="宋体"/>
                <w:b w:val="0"/>
                <w:color w:val="auto"/>
                <w:sz w:val="18"/>
                <w:szCs w:val="18"/>
              </w:rPr>
              <w:t>具有为国家富强、民族昌盛而努力奋斗的远大理想；</w:t>
            </w:r>
          </w:p>
          <w:p w14:paraId="3D1A7BF9">
            <w:pPr>
              <w:pStyle w:val="6"/>
              <w:pageBreakBefore w:val="0"/>
              <w:kinsoku/>
              <w:wordWrap/>
              <w:overflowPunct/>
              <w:topLinePunct w:val="0"/>
              <w:bidi w:val="0"/>
              <w:snapToGrid/>
              <w:spacing w:line="360" w:lineRule="exact"/>
              <w:textAlignment w:val="auto"/>
              <w:outlineLvl w:val="3"/>
              <w:rPr>
                <w:rFonts w:ascii="宋体" w:hAnsi="宋体" w:cs="宋体"/>
                <w:b w:val="0"/>
                <w:color w:val="auto"/>
                <w:sz w:val="18"/>
                <w:szCs w:val="18"/>
              </w:rPr>
            </w:pPr>
            <w:r>
              <w:rPr>
                <w:rFonts w:ascii="宋体" w:hAnsi="宋体" w:cs="宋体"/>
                <w:b w:val="0"/>
                <w:color w:val="auto"/>
                <w:sz w:val="18"/>
                <w:szCs w:val="18"/>
              </w:rPr>
              <w:t>（3）</w:t>
            </w:r>
            <w:r>
              <w:rPr>
                <w:rFonts w:hint="eastAsia" w:ascii="宋体" w:hAnsi="宋体" w:cs="宋体"/>
                <w:b w:val="0"/>
                <w:color w:val="auto"/>
                <w:sz w:val="18"/>
                <w:szCs w:val="18"/>
              </w:rPr>
              <w:t>具有求实创新的科学精神、刻苦钻研的实干精神、团结协作的团队精神；</w:t>
            </w:r>
          </w:p>
          <w:p w14:paraId="17BBE42D">
            <w:pPr>
              <w:pStyle w:val="6"/>
              <w:pageBreakBefore w:val="0"/>
              <w:kinsoku/>
              <w:wordWrap/>
              <w:overflowPunct/>
              <w:topLinePunct w:val="0"/>
              <w:bidi w:val="0"/>
              <w:snapToGrid/>
              <w:spacing w:line="360" w:lineRule="exact"/>
              <w:textAlignment w:val="auto"/>
              <w:outlineLvl w:val="3"/>
              <w:rPr>
                <w:rFonts w:ascii="宋体" w:hAnsi="宋体" w:cs="宋体"/>
                <w:b w:val="0"/>
                <w:color w:val="auto"/>
                <w:sz w:val="18"/>
                <w:szCs w:val="18"/>
              </w:rPr>
            </w:pPr>
            <w:r>
              <w:rPr>
                <w:rFonts w:hint="eastAsia" w:ascii="宋体" w:hAnsi="宋体" w:cs="宋体"/>
                <w:b w:val="0"/>
                <w:color w:val="auto"/>
                <w:sz w:val="18"/>
                <w:szCs w:val="18"/>
              </w:rPr>
              <w:t>（4）熟练掌握计算机应用基础知识和网络知识。</w:t>
            </w:r>
          </w:p>
        </w:tc>
        <w:tc>
          <w:tcPr>
            <w:tcW w:w="2394" w:type="dxa"/>
            <w:vAlign w:val="center"/>
          </w:tcPr>
          <w:p w14:paraId="2EB9FC47">
            <w:pPr>
              <w:pStyle w:val="6"/>
              <w:pageBreakBefore w:val="0"/>
              <w:kinsoku/>
              <w:wordWrap/>
              <w:overflowPunct/>
              <w:topLinePunct w:val="0"/>
              <w:bidi w:val="0"/>
              <w:snapToGrid/>
              <w:spacing w:line="360" w:lineRule="exact"/>
              <w:textAlignment w:val="auto"/>
              <w:outlineLvl w:val="3"/>
              <w:rPr>
                <w:rFonts w:ascii="宋体" w:hAnsi="宋体" w:cs="宋体"/>
                <w:b w:val="0"/>
                <w:color w:val="auto"/>
                <w:sz w:val="18"/>
                <w:szCs w:val="18"/>
              </w:rPr>
            </w:pPr>
            <w:r>
              <w:rPr>
                <w:rFonts w:hint="eastAsia" w:ascii="宋体" w:hAnsi="宋体" w:cs="宋体"/>
                <w:b w:val="0"/>
                <w:color w:val="auto"/>
                <w:sz w:val="18"/>
                <w:szCs w:val="18"/>
              </w:rPr>
              <w:t>习近平新时代中国特色社会主义思想概论</w:t>
            </w:r>
          </w:p>
          <w:p w14:paraId="2352F9F0">
            <w:pPr>
              <w:pageBreakBefore w:val="0"/>
              <w:kinsoku/>
              <w:wordWrap/>
              <w:overflowPunct/>
              <w:topLinePunct w:val="0"/>
              <w:bidi w:val="0"/>
              <w:snapToGrid/>
              <w:spacing w:line="360" w:lineRule="exact"/>
              <w:textAlignment w:val="auto"/>
              <w:rPr>
                <w:rFonts w:hint="default" w:eastAsia="宋体"/>
                <w:lang w:val="en-US" w:eastAsia="zh-CN"/>
              </w:rPr>
            </w:pPr>
            <w:r>
              <w:rPr>
                <w:rFonts w:hint="eastAsia" w:ascii="宋体" w:hAnsi="宋体" w:cs="宋体"/>
                <w:b w:val="0"/>
                <w:color w:val="auto"/>
                <w:sz w:val="18"/>
                <w:szCs w:val="18"/>
                <w:lang w:val="en-US" w:eastAsia="zh-CN"/>
              </w:rPr>
              <w:t>毛泽东思想和中国特色社会主义理论体系概论</w:t>
            </w:r>
          </w:p>
          <w:p w14:paraId="2C7FA4A6">
            <w:pPr>
              <w:pStyle w:val="6"/>
              <w:pageBreakBefore w:val="0"/>
              <w:kinsoku/>
              <w:wordWrap/>
              <w:overflowPunct/>
              <w:topLinePunct w:val="0"/>
              <w:bidi w:val="0"/>
              <w:snapToGrid/>
              <w:spacing w:line="360" w:lineRule="exact"/>
              <w:textAlignment w:val="auto"/>
              <w:outlineLvl w:val="3"/>
              <w:rPr>
                <w:rFonts w:ascii="宋体" w:hAnsi="宋体" w:cs="宋体"/>
                <w:b w:val="0"/>
                <w:color w:val="auto"/>
                <w:sz w:val="18"/>
                <w:szCs w:val="18"/>
              </w:rPr>
            </w:pPr>
            <w:r>
              <w:rPr>
                <w:rFonts w:hint="eastAsia" w:ascii="宋体" w:hAnsi="宋体" w:cs="宋体"/>
                <w:b w:val="0"/>
                <w:color w:val="auto"/>
                <w:sz w:val="18"/>
                <w:szCs w:val="18"/>
              </w:rPr>
              <w:t>劳动教育与实践</w:t>
            </w:r>
          </w:p>
          <w:p w14:paraId="530F8984">
            <w:pPr>
              <w:pStyle w:val="6"/>
              <w:pageBreakBefore w:val="0"/>
              <w:kinsoku/>
              <w:wordWrap/>
              <w:overflowPunct/>
              <w:topLinePunct w:val="0"/>
              <w:bidi w:val="0"/>
              <w:snapToGrid/>
              <w:spacing w:line="360" w:lineRule="exact"/>
              <w:textAlignment w:val="auto"/>
              <w:outlineLvl w:val="3"/>
              <w:rPr>
                <w:rFonts w:ascii="宋体" w:hAnsi="宋体" w:cs="宋体"/>
                <w:b w:val="0"/>
                <w:color w:val="auto"/>
                <w:sz w:val="18"/>
                <w:szCs w:val="18"/>
              </w:rPr>
            </w:pPr>
            <w:r>
              <w:rPr>
                <w:rFonts w:hint="eastAsia" w:ascii="宋体" w:hAnsi="宋体" w:cs="宋体"/>
                <w:b w:val="0"/>
                <w:color w:val="auto"/>
                <w:sz w:val="18"/>
                <w:szCs w:val="18"/>
              </w:rPr>
              <w:t>职业发展与就业指导</w:t>
            </w:r>
          </w:p>
          <w:p w14:paraId="2C69530C">
            <w:pPr>
              <w:pStyle w:val="6"/>
              <w:pageBreakBefore w:val="0"/>
              <w:kinsoku/>
              <w:wordWrap/>
              <w:overflowPunct/>
              <w:topLinePunct w:val="0"/>
              <w:bidi w:val="0"/>
              <w:snapToGrid/>
              <w:spacing w:line="360" w:lineRule="exact"/>
              <w:textAlignment w:val="auto"/>
              <w:outlineLvl w:val="3"/>
              <w:rPr>
                <w:rFonts w:ascii="宋体" w:hAnsi="宋体" w:cs="宋体"/>
                <w:b w:val="0"/>
                <w:color w:val="auto"/>
                <w:sz w:val="18"/>
                <w:szCs w:val="18"/>
              </w:rPr>
            </w:pPr>
            <w:r>
              <w:rPr>
                <w:rFonts w:ascii="宋体" w:hAnsi="宋体" w:cs="宋体"/>
                <w:b w:val="0"/>
                <w:color w:val="auto"/>
                <w:sz w:val="18"/>
                <w:szCs w:val="18"/>
              </w:rPr>
              <w:t>军事理论</w:t>
            </w:r>
          </w:p>
          <w:p w14:paraId="1F80EC29">
            <w:pPr>
              <w:pStyle w:val="6"/>
              <w:pageBreakBefore w:val="0"/>
              <w:kinsoku/>
              <w:wordWrap/>
              <w:overflowPunct/>
              <w:topLinePunct w:val="0"/>
              <w:bidi w:val="0"/>
              <w:snapToGrid/>
              <w:spacing w:line="360" w:lineRule="exact"/>
              <w:textAlignment w:val="auto"/>
              <w:outlineLvl w:val="3"/>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大学英语</w:t>
            </w:r>
          </w:p>
          <w:p w14:paraId="1F518775">
            <w:pPr>
              <w:pStyle w:val="6"/>
              <w:pageBreakBefore w:val="0"/>
              <w:kinsoku/>
              <w:wordWrap/>
              <w:overflowPunct/>
              <w:topLinePunct w:val="0"/>
              <w:bidi w:val="0"/>
              <w:snapToGrid/>
              <w:spacing w:line="360" w:lineRule="exact"/>
              <w:textAlignment w:val="auto"/>
              <w:outlineLvl w:val="3"/>
              <w:rPr>
                <w:rFonts w:hint="eastAsia"/>
                <w:lang w:val="en-US" w:eastAsia="zh-CN"/>
              </w:rPr>
            </w:pPr>
            <w:r>
              <w:rPr>
                <w:rFonts w:hint="eastAsia" w:ascii="宋体" w:hAnsi="宋体" w:cs="宋体"/>
                <w:b w:val="0"/>
                <w:color w:val="auto"/>
                <w:sz w:val="18"/>
                <w:szCs w:val="18"/>
              </w:rPr>
              <w:t>大学语文</w:t>
            </w:r>
          </w:p>
        </w:tc>
      </w:tr>
      <w:tr w14:paraId="3C2F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68" w:type="dxa"/>
            <w:vMerge w:val="continue"/>
            <w:vAlign w:val="center"/>
          </w:tcPr>
          <w:p w14:paraId="4C77B1F5">
            <w:pPr>
              <w:pageBreakBefore w:val="0"/>
              <w:kinsoku/>
              <w:wordWrap/>
              <w:overflowPunct/>
              <w:topLinePunct w:val="0"/>
              <w:bidi w:val="0"/>
              <w:snapToGrid/>
              <w:spacing w:line="360" w:lineRule="exact"/>
              <w:ind w:firstLine="422"/>
              <w:jc w:val="center"/>
              <w:textAlignment w:val="auto"/>
              <w:rPr>
                <w:rFonts w:ascii="宋体" w:hAnsi="宋体" w:cs="宋体"/>
                <w:b/>
                <w:bCs/>
                <w:sz w:val="18"/>
                <w:szCs w:val="18"/>
              </w:rPr>
            </w:pPr>
          </w:p>
        </w:tc>
        <w:tc>
          <w:tcPr>
            <w:tcW w:w="704" w:type="dxa"/>
            <w:vAlign w:val="center"/>
          </w:tcPr>
          <w:p w14:paraId="385160B4">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职</w:t>
            </w:r>
          </w:p>
          <w:p w14:paraId="678AFACF">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业</w:t>
            </w:r>
          </w:p>
          <w:p w14:paraId="15B7D1F2">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基</w:t>
            </w:r>
          </w:p>
          <w:p w14:paraId="56D8AB05">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础</w:t>
            </w:r>
          </w:p>
          <w:p w14:paraId="5B14B87B">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知</w:t>
            </w:r>
          </w:p>
          <w:p w14:paraId="5B11368D">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识</w:t>
            </w:r>
          </w:p>
        </w:tc>
        <w:tc>
          <w:tcPr>
            <w:tcW w:w="5752" w:type="dxa"/>
            <w:vAlign w:val="center"/>
          </w:tcPr>
          <w:p w14:paraId="3FC3FC3E">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ascii="宋体" w:hAnsi="宋体" w:cs="宋体"/>
                <w:b w:val="0"/>
                <w:bCs/>
                <w:color w:val="auto"/>
                <w:sz w:val="18"/>
                <w:szCs w:val="18"/>
              </w:rPr>
              <w:t>（1）</w:t>
            </w:r>
            <w:r>
              <w:rPr>
                <w:rFonts w:hint="eastAsia" w:ascii="宋体" w:hAnsi="宋体" w:cs="宋体"/>
                <w:b w:val="0"/>
                <w:bCs/>
                <w:color w:val="auto"/>
                <w:sz w:val="18"/>
                <w:szCs w:val="18"/>
              </w:rPr>
              <w:t>掌握老年学概论；</w:t>
            </w:r>
          </w:p>
          <w:p w14:paraId="31F8F78F">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ascii="宋体" w:hAnsi="宋体" w:cs="宋体"/>
                <w:b w:val="0"/>
                <w:bCs/>
                <w:color w:val="auto"/>
                <w:sz w:val="18"/>
                <w:szCs w:val="18"/>
              </w:rPr>
              <w:t>（2）</w:t>
            </w:r>
            <w:r>
              <w:rPr>
                <w:rFonts w:hint="eastAsia" w:ascii="宋体" w:hAnsi="宋体" w:cs="宋体"/>
                <w:b w:val="0"/>
                <w:bCs/>
                <w:color w:val="auto"/>
                <w:sz w:val="18"/>
                <w:szCs w:val="18"/>
              </w:rPr>
              <w:t>熟悉国家卫生工作方针、政策和法规；</w:t>
            </w:r>
          </w:p>
          <w:p w14:paraId="61D05978">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ascii="宋体" w:hAnsi="宋体" w:cs="宋体"/>
                <w:b w:val="0"/>
                <w:bCs/>
                <w:color w:val="auto"/>
                <w:sz w:val="18"/>
                <w:szCs w:val="18"/>
              </w:rPr>
              <w:t>（3）</w:t>
            </w:r>
            <w:r>
              <w:rPr>
                <w:rFonts w:hint="eastAsia" w:ascii="宋体" w:hAnsi="宋体" w:cs="宋体"/>
                <w:b w:val="0"/>
                <w:bCs/>
                <w:color w:val="auto"/>
                <w:sz w:val="18"/>
                <w:szCs w:val="18"/>
              </w:rPr>
              <w:t>掌握一门外语，能较熟练阅读医学专业外文资料；</w:t>
            </w:r>
          </w:p>
          <w:p w14:paraId="73B42D0F">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ascii="宋体" w:hAnsi="宋体" w:cs="宋体"/>
                <w:b w:val="0"/>
                <w:bCs/>
                <w:color w:val="auto"/>
                <w:sz w:val="18"/>
                <w:szCs w:val="18"/>
              </w:rPr>
              <w:t>（4）</w:t>
            </w:r>
            <w:r>
              <w:rPr>
                <w:rFonts w:hint="eastAsia" w:ascii="宋体" w:hAnsi="宋体" w:cs="宋体"/>
                <w:b w:val="0"/>
                <w:bCs/>
                <w:color w:val="auto"/>
                <w:sz w:val="18"/>
                <w:szCs w:val="18"/>
              </w:rPr>
              <w:t>能较熟练应用计算机及进行相关医学文献检索的能力；</w:t>
            </w:r>
          </w:p>
          <w:p w14:paraId="71BAF12E">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ascii="宋体" w:hAnsi="宋体" w:cs="宋体"/>
                <w:b w:val="0"/>
                <w:bCs/>
                <w:color w:val="auto"/>
                <w:sz w:val="18"/>
                <w:szCs w:val="18"/>
              </w:rPr>
              <w:t>（5）</w:t>
            </w:r>
            <w:r>
              <w:rPr>
                <w:rFonts w:hint="eastAsia" w:ascii="宋体" w:hAnsi="宋体" w:cs="宋体"/>
                <w:b w:val="0"/>
                <w:bCs/>
                <w:color w:val="auto"/>
                <w:sz w:val="18"/>
                <w:szCs w:val="18"/>
              </w:rPr>
              <w:t>熟悉本专业的发展动态和趋势，了解相近学科和交叉学科的相关知识；</w:t>
            </w:r>
          </w:p>
          <w:p w14:paraId="3CAE5EA9">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（6）掌握老年人体结构与功能、老年服务与管理学概论；</w:t>
            </w:r>
          </w:p>
          <w:p w14:paraId="55AB37A1">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ascii="宋体" w:hAnsi="宋体" w:cs="宋体"/>
                <w:b w:val="0"/>
                <w:bCs/>
                <w:color w:val="auto"/>
                <w:sz w:val="18"/>
                <w:szCs w:val="18"/>
              </w:rPr>
              <w:t>（</w:t>
            </w:r>
            <w:r>
              <w:rPr>
                <w:rFonts w:hint="eastAsia" w:ascii="宋体" w:hAnsi="宋体" w:cs="宋体"/>
                <w:b w:val="0"/>
                <w:bCs/>
                <w:color w:val="auto"/>
                <w:sz w:val="18"/>
                <w:szCs w:val="18"/>
              </w:rPr>
              <w:t>7</w:t>
            </w:r>
            <w:r>
              <w:rPr>
                <w:rFonts w:ascii="宋体" w:hAnsi="宋体" w:cs="宋体"/>
                <w:b w:val="0"/>
                <w:bCs/>
                <w:color w:val="auto"/>
                <w:sz w:val="18"/>
                <w:szCs w:val="18"/>
              </w:rPr>
              <w:t>）</w:t>
            </w:r>
            <w:r>
              <w:rPr>
                <w:rFonts w:hint="eastAsia" w:ascii="宋体" w:hAnsi="宋体" w:cs="宋体"/>
                <w:b w:val="0"/>
                <w:bCs/>
                <w:color w:val="auto"/>
                <w:sz w:val="18"/>
                <w:szCs w:val="18"/>
              </w:rPr>
              <w:t>具备相关的人文社会科学和自然科学知识。</w:t>
            </w:r>
          </w:p>
        </w:tc>
        <w:tc>
          <w:tcPr>
            <w:tcW w:w="2394" w:type="dxa"/>
            <w:vAlign w:val="center"/>
          </w:tcPr>
          <w:p w14:paraId="46EA42BE">
            <w:pPr>
              <w:pStyle w:val="6"/>
              <w:pageBreakBefore w:val="0"/>
              <w:kinsoku/>
              <w:wordWrap/>
              <w:overflowPunct/>
              <w:topLinePunct w:val="0"/>
              <w:bidi w:val="0"/>
              <w:snapToGrid/>
              <w:spacing w:line="360" w:lineRule="exact"/>
              <w:textAlignment w:val="auto"/>
              <w:outlineLvl w:val="3"/>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老龄事业与产业发展</w:t>
            </w:r>
          </w:p>
          <w:p w14:paraId="37EC6E83">
            <w:pPr>
              <w:pStyle w:val="6"/>
              <w:pageBreakBefore w:val="0"/>
              <w:kinsoku/>
              <w:wordWrap/>
              <w:overflowPunct/>
              <w:topLinePunct w:val="0"/>
              <w:bidi w:val="0"/>
              <w:snapToGrid/>
              <w:spacing w:line="360" w:lineRule="exact"/>
              <w:textAlignment w:val="auto"/>
              <w:outlineLvl w:val="3"/>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康养政策法规与标准</w:t>
            </w:r>
          </w:p>
          <w:p w14:paraId="03AB6EF0">
            <w:pPr>
              <w:pStyle w:val="6"/>
              <w:pageBreakBefore w:val="0"/>
              <w:kinsoku/>
              <w:wordWrap/>
              <w:overflowPunct/>
              <w:topLinePunct w:val="0"/>
              <w:bidi w:val="0"/>
              <w:snapToGrid/>
              <w:spacing w:line="360" w:lineRule="exact"/>
              <w:textAlignment w:val="auto"/>
              <w:outlineLvl w:val="3"/>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老年学概论</w:t>
            </w:r>
          </w:p>
          <w:p w14:paraId="23DA798C">
            <w:pPr>
              <w:pStyle w:val="6"/>
              <w:pageBreakBefore w:val="0"/>
              <w:kinsoku/>
              <w:wordWrap/>
              <w:overflowPunct/>
              <w:topLinePunct w:val="0"/>
              <w:bidi w:val="0"/>
              <w:snapToGrid/>
              <w:spacing w:line="360" w:lineRule="exact"/>
              <w:textAlignment w:val="auto"/>
              <w:outlineLvl w:val="3"/>
              <w:rPr>
                <w:rFonts w:hint="default" w:ascii="宋体" w:hAnsi="宋体" w:cs="宋体"/>
                <w:b w:val="0"/>
                <w:color w:val="auto"/>
                <w:sz w:val="18"/>
                <w:szCs w:val="18"/>
                <w:lang w:val="en-US" w:eastAsia="zh-CN"/>
              </w:rPr>
            </w:pPr>
            <w:r>
              <w:rPr>
                <w:rFonts w:hint="eastAsia" w:ascii="宋体" w:hAnsi="宋体" w:cs="宋体"/>
                <w:b w:val="0"/>
                <w:color w:val="auto"/>
                <w:sz w:val="18"/>
                <w:szCs w:val="18"/>
                <w:lang w:val="en-US" w:eastAsia="zh-CN"/>
              </w:rPr>
              <w:t>老年服务礼仪与沟通</w:t>
            </w:r>
          </w:p>
          <w:p w14:paraId="521FA0BF">
            <w:pPr>
              <w:pStyle w:val="6"/>
              <w:pageBreakBefore w:val="0"/>
              <w:kinsoku/>
              <w:wordWrap/>
              <w:overflowPunct/>
              <w:topLinePunct w:val="0"/>
              <w:bidi w:val="0"/>
              <w:snapToGrid/>
              <w:spacing w:line="360" w:lineRule="exact"/>
              <w:textAlignment w:val="auto"/>
              <w:outlineLvl w:val="3"/>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正常人体结构与功能</w:t>
            </w:r>
          </w:p>
          <w:p w14:paraId="1CB78EC7">
            <w:pPr>
              <w:pStyle w:val="6"/>
              <w:pageBreakBefore w:val="0"/>
              <w:kinsoku/>
              <w:wordWrap/>
              <w:overflowPunct/>
              <w:topLinePunct w:val="0"/>
              <w:bidi w:val="0"/>
              <w:snapToGrid/>
              <w:spacing w:line="360" w:lineRule="exact"/>
              <w:textAlignment w:val="auto"/>
              <w:outlineLvl w:val="3"/>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健康养老职业素养与安全</w:t>
            </w:r>
          </w:p>
          <w:p w14:paraId="70AE0702">
            <w:pPr>
              <w:pStyle w:val="6"/>
              <w:pageBreakBefore w:val="0"/>
              <w:kinsoku/>
              <w:wordWrap/>
              <w:overflowPunct/>
              <w:topLinePunct w:val="0"/>
              <w:bidi w:val="0"/>
              <w:snapToGrid/>
              <w:spacing w:line="360" w:lineRule="exact"/>
              <w:textAlignment w:val="auto"/>
              <w:outlineLvl w:val="3"/>
              <w:rPr>
                <w:rFonts w:hint="default" w:ascii="宋体" w:hAnsi="宋体" w:cs="宋体"/>
                <w:b w:val="0"/>
                <w:color w:val="auto"/>
                <w:sz w:val="18"/>
                <w:szCs w:val="18"/>
                <w:lang w:val="en-US" w:eastAsia="zh-CN"/>
              </w:rPr>
            </w:pPr>
            <w:r>
              <w:rPr>
                <w:rFonts w:hint="eastAsia" w:ascii="宋体" w:hAnsi="宋体" w:cs="宋体"/>
                <w:b w:val="0"/>
                <w:color w:val="auto"/>
                <w:sz w:val="18"/>
                <w:szCs w:val="18"/>
                <w:lang w:val="en-US" w:eastAsia="zh-CN"/>
              </w:rPr>
              <w:t>健康养老大数据应用</w:t>
            </w:r>
          </w:p>
        </w:tc>
      </w:tr>
      <w:tr w14:paraId="6488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668" w:type="dxa"/>
            <w:vMerge w:val="continue"/>
            <w:vAlign w:val="center"/>
          </w:tcPr>
          <w:p w14:paraId="1C52FDCF">
            <w:pPr>
              <w:pageBreakBefore w:val="0"/>
              <w:kinsoku/>
              <w:wordWrap/>
              <w:overflowPunct/>
              <w:topLinePunct w:val="0"/>
              <w:bidi w:val="0"/>
              <w:snapToGrid/>
              <w:spacing w:line="360" w:lineRule="exact"/>
              <w:ind w:firstLine="422"/>
              <w:jc w:val="center"/>
              <w:textAlignment w:val="auto"/>
              <w:rPr>
                <w:rFonts w:ascii="宋体" w:hAnsi="宋体" w:cs="宋体"/>
                <w:b/>
                <w:bCs/>
                <w:sz w:val="18"/>
                <w:szCs w:val="18"/>
              </w:rPr>
            </w:pPr>
          </w:p>
        </w:tc>
        <w:tc>
          <w:tcPr>
            <w:tcW w:w="704" w:type="dxa"/>
            <w:vAlign w:val="center"/>
          </w:tcPr>
          <w:p w14:paraId="4FF1418E">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职</w:t>
            </w:r>
          </w:p>
          <w:p w14:paraId="2B2EC75B">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业</w:t>
            </w:r>
          </w:p>
          <w:p w14:paraId="11102367">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核</w:t>
            </w:r>
          </w:p>
          <w:p w14:paraId="47AE5301">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心</w:t>
            </w:r>
          </w:p>
          <w:p w14:paraId="1999D5DB">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知</w:t>
            </w:r>
          </w:p>
          <w:p w14:paraId="7F801F12">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识</w:t>
            </w:r>
          </w:p>
        </w:tc>
        <w:tc>
          <w:tcPr>
            <w:tcW w:w="5752" w:type="dxa"/>
            <w:vAlign w:val="center"/>
          </w:tcPr>
          <w:p w14:paraId="1861EB93">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ascii="宋体" w:hAnsi="宋体" w:cs="宋体"/>
                <w:b w:val="0"/>
                <w:bCs/>
                <w:color w:val="auto"/>
                <w:sz w:val="18"/>
                <w:szCs w:val="18"/>
              </w:rPr>
              <w:t>（1）</w:t>
            </w:r>
            <w:r>
              <w:rPr>
                <w:rFonts w:hint="eastAsia" w:ascii="宋体" w:hAnsi="宋体" w:cs="宋体"/>
                <w:b w:val="0"/>
                <w:bCs/>
                <w:color w:val="auto"/>
                <w:sz w:val="18"/>
                <w:szCs w:val="18"/>
              </w:rPr>
              <w:t>掌握智慧健康老年评估的方法和技术，包括运动功能、认知功能、日常生活能力等方面的评估，以确定个体的照护需求；</w:t>
            </w:r>
          </w:p>
          <w:p w14:paraId="4ACEB30A">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ascii="宋体" w:hAnsi="宋体" w:cs="宋体"/>
                <w:b w:val="0"/>
                <w:bCs/>
                <w:color w:val="auto"/>
                <w:sz w:val="18"/>
                <w:szCs w:val="18"/>
              </w:rPr>
              <w:t>（2）</w:t>
            </w:r>
            <w:r>
              <w:rPr>
                <w:rFonts w:hint="eastAsia" w:ascii="宋体" w:hAnsi="宋体" w:cs="宋体"/>
                <w:b w:val="0"/>
                <w:bCs/>
                <w:color w:val="auto"/>
                <w:sz w:val="18"/>
                <w:szCs w:val="18"/>
              </w:rPr>
              <w:t>掌握养生保健知识，包括健康营养与膳食保健、老年健康照护技术，以及如何运用这些技术进行老年人健康维护和疾病预防；</w:t>
            </w:r>
          </w:p>
          <w:p w14:paraId="5039EFAE">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ascii="宋体" w:hAnsi="宋体" w:cs="宋体"/>
                <w:b w:val="0"/>
                <w:bCs/>
                <w:color w:val="auto"/>
                <w:sz w:val="18"/>
                <w:szCs w:val="18"/>
              </w:rPr>
              <w:t>（3）</w:t>
            </w:r>
            <w:r>
              <w:rPr>
                <w:rFonts w:hint="eastAsia" w:ascii="宋体" w:hAnsi="宋体" w:cs="宋体"/>
                <w:b w:val="0"/>
                <w:bCs/>
                <w:color w:val="auto"/>
                <w:sz w:val="18"/>
                <w:szCs w:val="18"/>
              </w:rPr>
              <w:t>掌握老年护理学、老年心理护理学；</w:t>
            </w:r>
          </w:p>
          <w:p w14:paraId="1A1AC0AB">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ascii="宋体" w:hAnsi="宋体" w:cs="宋体"/>
                <w:b w:val="0"/>
                <w:bCs/>
                <w:color w:val="auto"/>
                <w:sz w:val="18"/>
                <w:szCs w:val="18"/>
              </w:rPr>
              <w:t>（4）</w:t>
            </w:r>
            <w:r>
              <w:rPr>
                <w:rFonts w:hint="eastAsia" w:ascii="宋体" w:hAnsi="宋体" w:cs="宋体"/>
                <w:b w:val="0"/>
                <w:bCs/>
                <w:color w:val="auto"/>
                <w:sz w:val="18"/>
                <w:szCs w:val="18"/>
              </w:rPr>
              <w:t>针对特定群体，如失智老年人，进行智慧健康评估、生活照护、保健调理等；</w:t>
            </w:r>
          </w:p>
          <w:p w14:paraId="5910A4C1">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（5）掌握基本的心理咨询技巧，促进服务对象的心理健康。</w:t>
            </w:r>
          </w:p>
        </w:tc>
        <w:tc>
          <w:tcPr>
            <w:tcW w:w="2394" w:type="dxa"/>
            <w:vAlign w:val="center"/>
          </w:tcPr>
          <w:p w14:paraId="66E917DC">
            <w:pPr>
              <w:pStyle w:val="6"/>
              <w:pageBreakBefore w:val="0"/>
              <w:kinsoku/>
              <w:wordWrap/>
              <w:overflowPunct/>
              <w:topLinePunct w:val="0"/>
              <w:bidi w:val="0"/>
              <w:snapToGrid/>
              <w:spacing w:line="360" w:lineRule="exact"/>
              <w:textAlignment w:val="auto"/>
              <w:outlineLvl w:val="3"/>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老年人生活与基础照护实务</w:t>
            </w:r>
          </w:p>
          <w:p w14:paraId="39F8E26B">
            <w:pPr>
              <w:pStyle w:val="6"/>
              <w:pageBreakBefore w:val="0"/>
              <w:kinsoku/>
              <w:wordWrap/>
              <w:overflowPunct/>
              <w:topLinePunct w:val="0"/>
              <w:bidi w:val="0"/>
              <w:snapToGrid/>
              <w:spacing w:line="360" w:lineRule="exact"/>
              <w:textAlignment w:val="auto"/>
              <w:outlineLvl w:val="3"/>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老年健康照护</w:t>
            </w:r>
          </w:p>
          <w:p w14:paraId="1F98D31B">
            <w:pPr>
              <w:pStyle w:val="6"/>
              <w:pageBreakBefore w:val="0"/>
              <w:kinsoku/>
              <w:wordWrap/>
              <w:overflowPunct/>
              <w:topLinePunct w:val="0"/>
              <w:bidi w:val="0"/>
              <w:snapToGrid/>
              <w:spacing w:line="360" w:lineRule="exact"/>
              <w:textAlignment w:val="auto"/>
              <w:outlineLvl w:val="3"/>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老年人心理护理实务</w:t>
            </w:r>
          </w:p>
          <w:p w14:paraId="28C53BCD">
            <w:pPr>
              <w:pStyle w:val="6"/>
              <w:pageBreakBefore w:val="0"/>
              <w:kinsoku/>
              <w:wordWrap/>
              <w:overflowPunct/>
              <w:topLinePunct w:val="0"/>
              <w:bidi w:val="0"/>
              <w:snapToGrid/>
              <w:spacing w:line="360" w:lineRule="exact"/>
              <w:textAlignment w:val="auto"/>
              <w:outlineLvl w:val="3"/>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老年活动策划与设计</w:t>
            </w:r>
          </w:p>
          <w:p w14:paraId="1873AB9D">
            <w:pPr>
              <w:pStyle w:val="6"/>
              <w:pageBreakBefore w:val="0"/>
              <w:kinsoku/>
              <w:wordWrap/>
              <w:overflowPunct/>
              <w:topLinePunct w:val="0"/>
              <w:bidi w:val="0"/>
              <w:snapToGrid/>
              <w:spacing w:line="360" w:lineRule="exact"/>
              <w:textAlignment w:val="auto"/>
              <w:outlineLvl w:val="3"/>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养老机构智慧运营与管理</w:t>
            </w:r>
          </w:p>
          <w:p w14:paraId="00B04FF9">
            <w:pPr>
              <w:pStyle w:val="6"/>
              <w:pageBreakBefore w:val="0"/>
              <w:kinsoku/>
              <w:wordWrap/>
              <w:overflowPunct/>
              <w:topLinePunct w:val="0"/>
              <w:bidi w:val="0"/>
              <w:snapToGrid/>
              <w:spacing w:line="360" w:lineRule="exact"/>
              <w:textAlignment w:val="auto"/>
              <w:outlineLvl w:val="3"/>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老年人能力评估实务</w:t>
            </w:r>
          </w:p>
        </w:tc>
      </w:tr>
      <w:tr w14:paraId="3EDE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668" w:type="dxa"/>
            <w:vMerge w:val="continue"/>
            <w:vAlign w:val="center"/>
          </w:tcPr>
          <w:p w14:paraId="262CC88D">
            <w:pPr>
              <w:pageBreakBefore w:val="0"/>
              <w:kinsoku/>
              <w:wordWrap/>
              <w:overflowPunct/>
              <w:topLinePunct w:val="0"/>
              <w:bidi w:val="0"/>
              <w:snapToGrid/>
              <w:spacing w:line="360" w:lineRule="exact"/>
              <w:ind w:firstLine="422"/>
              <w:jc w:val="center"/>
              <w:textAlignment w:val="auto"/>
              <w:rPr>
                <w:rFonts w:ascii="宋体" w:hAnsi="宋体" w:cs="宋体"/>
                <w:b/>
                <w:bCs/>
                <w:szCs w:val="21"/>
              </w:rPr>
            </w:pPr>
          </w:p>
        </w:tc>
        <w:tc>
          <w:tcPr>
            <w:tcW w:w="704" w:type="dxa"/>
            <w:vAlign w:val="center"/>
          </w:tcPr>
          <w:p w14:paraId="4D81EB94">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职</w:t>
            </w:r>
          </w:p>
          <w:p w14:paraId="67BABDA6">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业</w:t>
            </w:r>
          </w:p>
          <w:p w14:paraId="15FEFFDB">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拓</w:t>
            </w:r>
          </w:p>
          <w:p w14:paraId="01E5C87C">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展</w:t>
            </w:r>
          </w:p>
          <w:p w14:paraId="0AF8E4D5">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知</w:t>
            </w:r>
          </w:p>
          <w:p w14:paraId="4A3FAE18">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识</w:t>
            </w:r>
          </w:p>
        </w:tc>
        <w:tc>
          <w:tcPr>
            <w:tcW w:w="5752" w:type="dxa"/>
            <w:vAlign w:val="center"/>
          </w:tcPr>
          <w:p w14:paraId="21540B0A">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（1）掌握健康管理的基本理念，包括健康风险评估、健康教育、疾病预防策略等，以促进老年人的整体健康水平；</w:t>
            </w:r>
          </w:p>
          <w:p w14:paraId="134D1943">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（2）了解公共卫生体系、医学基础知识、常用老年照护基本知识、老年人心理特点及心理照护知识；</w:t>
            </w:r>
          </w:p>
          <w:p w14:paraId="704C4138">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（3）熟悉本专业相关的法律法规、环境保护、安全消防、文明生产等相关知识。</w:t>
            </w:r>
          </w:p>
        </w:tc>
        <w:tc>
          <w:tcPr>
            <w:tcW w:w="2394" w:type="dxa"/>
            <w:vAlign w:val="center"/>
          </w:tcPr>
          <w:p w14:paraId="7EDC8966">
            <w:pPr>
              <w:pStyle w:val="6"/>
              <w:pageBreakBefore w:val="0"/>
              <w:kinsoku/>
              <w:wordWrap/>
              <w:overflowPunct/>
              <w:topLinePunct w:val="0"/>
              <w:bidi w:val="0"/>
              <w:snapToGrid/>
              <w:spacing w:line="360" w:lineRule="exact"/>
              <w:textAlignment w:val="auto"/>
              <w:outlineLvl w:val="3"/>
              <w:rPr>
                <w:rFonts w:hint="default" w:ascii="宋体" w:hAnsi="宋体" w:cs="宋体"/>
                <w:b w:val="0"/>
                <w:color w:val="auto"/>
                <w:sz w:val="18"/>
                <w:szCs w:val="18"/>
                <w:lang w:val="en-US" w:eastAsia="zh-CN"/>
              </w:rPr>
            </w:pPr>
            <w:r>
              <w:rPr>
                <w:rFonts w:hint="eastAsia" w:ascii="宋体" w:hAnsi="宋体" w:cs="宋体"/>
                <w:b w:val="0"/>
                <w:color w:val="auto"/>
                <w:sz w:val="18"/>
                <w:szCs w:val="18"/>
                <w:lang w:val="en-US" w:eastAsia="zh-CN"/>
              </w:rPr>
              <w:t>中国传统康复技术</w:t>
            </w:r>
          </w:p>
          <w:p w14:paraId="3D36D9B8">
            <w:pPr>
              <w:pStyle w:val="6"/>
              <w:pageBreakBefore w:val="0"/>
              <w:kinsoku/>
              <w:wordWrap/>
              <w:overflowPunct/>
              <w:topLinePunct w:val="0"/>
              <w:bidi w:val="0"/>
              <w:snapToGrid/>
              <w:spacing w:line="360" w:lineRule="exact"/>
              <w:textAlignment w:val="auto"/>
              <w:outlineLvl w:val="3"/>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急救知识与技术</w:t>
            </w:r>
          </w:p>
          <w:p w14:paraId="2C7FEDAC">
            <w:pPr>
              <w:pStyle w:val="6"/>
              <w:pageBreakBefore w:val="0"/>
              <w:kinsoku/>
              <w:wordWrap/>
              <w:overflowPunct/>
              <w:topLinePunct w:val="0"/>
              <w:bidi w:val="0"/>
              <w:snapToGrid/>
              <w:spacing w:line="360" w:lineRule="exact"/>
              <w:textAlignment w:val="auto"/>
              <w:outlineLvl w:val="3"/>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老年营养与膳食指导</w:t>
            </w:r>
          </w:p>
          <w:p w14:paraId="094BBCC3">
            <w:pPr>
              <w:pStyle w:val="6"/>
              <w:pageBreakBefore w:val="0"/>
              <w:kinsoku/>
              <w:wordWrap/>
              <w:overflowPunct/>
              <w:topLinePunct w:val="0"/>
              <w:bidi w:val="0"/>
              <w:snapToGrid/>
              <w:spacing w:line="360" w:lineRule="exact"/>
              <w:textAlignment w:val="auto"/>
              <w:outlineLvl w:val="3"/>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老年康体指导</w:t>
            </w:r>
          </w:p>
          <w:p w14:paraId="61FE3D91">
            <w:pPr>
              <w:pStyle w:val="6"/>
              <w:pageBreakBefore w:val="0"/>
              <w:kinsoku/>
              <w:wordWrap/>
              <w:overflowPunct/>
              <w:topLinePunct w:val="0"/>
              <w:bidi w:val="0"/>
              <w:snapToGrid/>
              <w:spacing w:line="360" w:lineRule="exact"/>
              <w:textAlignment w:val="auto"/>
              <w:outlineLvl w:val="3"/>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老年产品营销</w:t>
            </w:r>
          </w:p>
          <w:p w14:paraId="71B1FED7">
            <w:pPr>
              <w:pStyle w:val="6"/>
              <w:pageBreakBefore w:val="0"/>
              <w:kinsoku/>
              <w:wordWrap/>
              <w:overflowPunct/>
              <w:topLinePunct w:val="0"/>
              <w:bidi w:val="0"/>
              <w:snapToGrid/>
              <w:spacing w:line="360" w:lineRule="exact"/>
              <w:textAlignment w:val="auto"/>
              <w:outlineLvl w:val="3"/>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老年用药基本知识</w:t>
            </w:r>
          </w:p>
          <w:p w14:paraId="2D02A6AD">
            <w:pPr>
              <w:pStyle w:val="6"/>
              <w:pageBreakBefore w:val="0"/>
              <w:kinsoku/>
              <w:wordWrap/>
              <w:overflowPunct/>
              <w:topLinePunct w:val="0"/>
              <w:bidi w:val="0"/>
              <w:snapToGrid/>
              <w:spacing w:line="360" w:lineRule="exact"/>
              <w:textAlignment w:val="auto"/>
              <w:outlineLvl w:val="3"/>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老年人生活能力康复训练</w:t>
            </w:r>
          </w:p>
          <w:p w14:paraId="6189F14B">
            <w:pPr>
              <w:pStyle w:val="6"/>
              <w:pageBreakBefore w:val="0"/>
              <w:kinsoku/>
              <w:wordWrap/>
              <w:overflowPunct/>
              <w:topLinePunct w:val="0"/>
              <w:bidi w:val="0"/>
              <w:snapToGrid/>
              <w:spacing w:line="360" w:lineRule="exact"/>
              <w:textAlignment w:val="auto"/>
              <w:outlineLvl w:val="3"/>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社区居家智慧康养管理</w:t>
            </w:r>
          </w:p>
        </w:tc>
      </w:tr>
      <w:tr w14:paraId="2CA6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vAlign w:val="center"/>
          </w:tcPr>
          <w:p w14:paraId="51AC81CF">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能</w:t>
            </w:r>
          </w:p>
          <w:p w14:paraId="4A43153D">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力</w:t>
            </w:r>
          </w:p>
          <w:p w14:paraId="59F3101A">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结</w:t>
            </w:r>
          </w:p>
          <w:p w14:paraId="7AC46B9A">
            <w:pPr>
              <w:pageBreakBefore w:val="0"/>
              <w:kinsoku/>
              <w:wordWrap/>
              <w:overflowPunct/>
              <w:topLinePunct w:val="0"/>
              <w:bidi w:val="0"/>
              <w:snapToGrid/>
              <w:spacing w:line="360" w:lineRule="exact"/>
              <w:jc w:val="center"/>
              <w:textAlignment w:val="auto"/>
              <w:rPr>
                <w:rFonts w:ascii="宋体" w:hAnsi="宋体" w:cs="宋体"/>
                <w:szCs w:val="21"/>
              </w:rPr>
            </w:pPr>
            <w:r>
              <w:rPr>
                <w:rFonts w:hint="eastAsia" w:ascii="宋体" w:hAnsi="宋体" w:cs="宋体"/>
                <w:b/>
                <w:bCs/>
                <w:sz w:val="18"/>
                <w:szCs w:val="18"/>
              </w:rPr>
              <w:t>构</w:t>
            </w:r>
          </w:p>
        </w:tc>
        <w:tc>
          <w:tcPr>
            <w:tcW w:w="704" w:type="dxa"/>
            <w:vAlign w:val="center"/>
          </w:tcPr>
          <w:p w14:paraId="52CAD115">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社</w:t>
            </w:r>
          </w:p>
          <w:p w14:paraId="796CA873">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会</w:t>
            </w:r>
          </w:p>
          <w:p w14:paraId="7170839A">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能</w:t>
            </w:r>
          </w:p>
          <w:p w14:paraId="3725869F">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b/>
                <w:bCs/>
                <w:sz w:val="18"/>
                <w:szCs w:val="18"/>
              </w:rPr>
              <w:t>力</w:t>
            </w:r>
          </w:p>
        </w:tc>
        <w:tc>
          <w:tcPr>
            <w:tcW w:w="5752" w:type="dxa"/>
            <w:vAlign w:val="center"/>
          </w:tcPr>
          <w:p w14:paraId="3F6B4D8B">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（1）具有对安全生产法律法规的理解、贯彻能力；</w:t>
            </w:r>
          </w:p>
          <w:p w14:paraId="4ADCB5AF">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（2）具有较强沟通协作能力，问题解决能力、创新能力；</w:t>
            </w:r>
          </w:p>
          <w:p w14:paraId="6C1A0D20">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（3）具有获取本专业前沿知识和相关学科知识的自学能力；</w:t>
            </w:r>
          </w:p>
          <w:p w14:paraId="57BD819C">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（4）较好的组织计划和解决问题的能力；</w:t>
            </w:r>
          </w:p>
          <w:p w14:paraId="19DE1463">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（5）较强的语言表达和相关文书写作的能力。</w:t>
            </w:r>
          </w:p>
          <w:p w14:paraId="5F53997C">
            <w:pPr>
              <w:pageBreakBefore w:val="0"/>
              <w:kinsoku/>
              <w:wordWrap/>
              <w:overflowPunct/>
              <w:topLinePunct w:val="0"/>
              <w:bidi w:val="0"/>
              <w:snapToGrid/>
              <w:spacing w:line="360" w:lineRule="exact"/>
              <w:textAlignment w:val="auto"/>
              <w:rPr>
                <w:rFonts w:ascii="宋体" w:hAnsi="宋体" w:cs="宋体"/>
                <w:bCs/>
                <w:sz w:val="18"/>
                <w:szCs w:val="18"/>
              </w:rPr>
            </w:pPr>
          </w:p>
        </w:tc>
        <w:tc>
          <w:tcPr>
            <w:tcW w:w="2394" w:type="dxa"/>
            <w:vAlign w:val="center"/>
          </w:tcPr>
          <w:p w14:paraId="4B252895">
            <w:pPr>
              <w:pageBreakBefore w:val="0"/>
              <w:kinsoku/>
              <w:wordWrap/>
              <w:overflowPunct/>
              <w:topLinePunct w:val="0"/>
              <w:bidi w:val="0"/>
              <w:snapToGrid/>
              <w:spacing w:line="360" w:lineRule="exact"/>
              <w:textAlignment w:val="auto"/>
              <w:rPr>
                <w:rFonts w:ascii="宋体" w:hAnsi="宋体" w:cs="宋体"/>
                <w:bCs/>
                <w:sz w:val="18"/>
                <w:szCs w:val="18"/>
              </w:rPr>
            </w:pPr>
            <w:r>
              <w:rPr>
                <w:rFonts w:ascii="宋体" w:hAnsi="宋体" w:cs="宋体"/>
                <w:bCs/>
                <w:sz w:val="18"/>
                <w:szCs w:val="18"/>
              </w:rPr>
              <w:t>军事技能训练及入学教育</w:t>
            </w:r>
          </w:p>
          <w:p w14:paraId="6CD55745">
            <w:pPr>
              <w:pStyle w:val="2"/>
              <w:pageBreakBefore w:val="0"/>
              <w:kinsoku/>
              <w:wordWrap/>
              <w:overflowPunct/>
              <w:topLinePunct w:val="0"/>
              <w:bidi w:val="0"/>
              <w:snapToGrid/>
              <w:spacing w:after="0" w:line="360" w:lineRule="exact"/>
              <w:textAlignment w:val="auto"/>
              <w:rPr>
                <w:rFonts w:ascii="宋体" w:hAnsi="宋体" w:cs="宋体"/>
                <w:bCs/>
                <w:sz w:val="18"/>
                <w:szCs w:val="18"/>
              </w:rPr>
            </w:pPr>
            <w:r>
              <w:rPr>
                <w:rFonts w:hint="eastAsia" w:ascii="宋体" w:hAnsi="宋体" w:cs="宋体"/>
                <w:bCs/>
                <w:sz w:val="18"/>
                <w:szCs w:val="18"/>
              </w:rPr>
              <w:t>职业发展与就业指导</w:t>
            </w:r>
          </w:p>
          <w:p w14:paraId="2C9A15C9">
            <w:pPr>
              <w:pStyle w:val="2"/>
              <w:pageBreakBefore w:val="0"/>
              <w:kinsoku/>
              <w:wordWrap/>
              <w:overflowPunct/>
              <w:topLinePunct w:val="0"/>
              <w:bidi w:val="0"/>
              <w:snapToGrid/>
              <w:spacing w:after="0" w:line="360" w:lineRule="exact"/>
              <w:textAlignment w:val="auto"/>
              <w:rPr>
                <w:rFonts w:ascii="宋体" w:hAnsi="宋体" w:cs="宋体"/>
                <w:bCs/>
                <w:sz w:val="18"/>
                <w:szCs w:val="18"/>
              </w:rPr>
            </w:pPr>
            <w:r>
              <w:rPr>
                <w:rFonts w:hint="eastAsia" w:ascii="宋体" w:hAnsi="宋体" w:cs="宋体"/>
                <w:bCs/>
                <w:sz w:val="18"/>
                <w:szCs w:val="18"/>
              </w:rPr>
              <w:t>创新创业教育</w:t>
            </w:r>
          </w:p>
          <w:p w14:paraId="566AA733">
            <w:pPr>
              <w:pStyle w:val="2"/>
              <w:pageBreakBefore w:val="0"/>
              <w:kinsoku/>
              <w:wordWrap/>
              <w:overflowPunct/>
              <w:topLinePunct w:val="0"/>
              <w:bidi w:val="0"/>
              <w:snapToGrid/>
              <w:spacing w:after="0" w:line="360" w:lineRule="exact"/>
              <w:textAlignment w:val="auto"/>
              <w:rPr>
                <w:rFonts w:ascii="宋体" w:hAnsi="宋体" w:cs="宋体"/>
                <w:bCs/>
                <w:sz w:val="18"/>
                <w:szCs w:val="18"/>
              </w:rPr>
            </w:pPr>
            <w:r>
              <w:rPr>
                <w:rFonts w:hint="eastAsia" w:ascii="宋体" w:hAnsi="宋体" w:cs="宋体"/>
                <w:bCs/>
                <w:sz w:val="18"/>
                <w:szCs w:val="18"/>
              </w:rPr>
              <w:t>信息技术</w:t>
            </w:r>
          </w:p>
          <w:p w14:paraId="4BC01E2C">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劳动教育与实践</w:t>
            </w:r>
          </w:p>
        </w:tc>
      </w:tr>
      <w:tr w14:paraId="439A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668" w:type="dxa"/>
            <w:vMerge w:val="continue"/>
            <w:vAlign w:val="center"/>
          </w:tcPr>
          <w:p w14:paraId="0B3C0785">
            <w:pPr>
              <w:pageBreakBefore w:val="0"/>
              <w:kinsoku/>
              <w:wordWrap/>
              <w:overflowPunct/>
              <w:topLinePunct w:val="0"/>
              <w:bidi w:val="0"/>
              <w:snapToGrid/>
              <w:spacing w:line="360" w:lineRule="exact"/>
              <w:ind w:firstLine="422"/>
              <w:jc w:val="center"/>
              <w:textAlignment w:val="auto"/>
              <w:rPr>
                <w:rFonts w:ascii="宋体" w:hAnsi="宋体" w:cs="宋体"/>
                <w:b/>
                <w:bCs/>
                <w:szCs w:val="21"/>
              </w:rPr>
            </w:pPr>
          </w:p>
        </w:tc>
        <w:tc>
          <w:tcPr>
            <w:tcW w:w="704" w:type="dxa"/>
            <w:vAlign w:val="center"/>
          </w:tcPr>
          <w:p w14:paraId="0EA70BF2">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职</w:t>
            </w:r>
          </w:p>
          <w:p w14:paraId="3BECF9D5">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业</w:t>
            </w:r>
          </w:p>
          <w:p w14:paraId="4CC1F329">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核</w:t>
            </w:r>
          </w:p>
          <w:p w14:paraId="27159C97">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心</w:t>
            </w:r>
          </w:p>
          <w:p w14:paraId="680574D5">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能</w:t>
            </w:r>
          </w:p>
          <w:p w14:paraId="1630322D">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力</w:t>
            </w:r>
          </w:p>
        </w:tc>
        <w:tc>
          <w:tcPr>
            <w:tcW w:w="5752" w:type="dxa"/>
            <w:vAlign w:val="center"/>
          </w:tcPr>
          <w:p w14:paraId="4DF2BE21">
            <w:pPr>
              <w:pageBreakBefore w:val="0"/>
              <w:numPr>
                <w:ilvl w:val="0"/>
                <w:numId w:val="1"/>
              </w:numPr>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具备老年人生活护理能力：包括饮食照料、排泄照料、睡眠照料等日常生活照护；</w:t>
            </w:r>
          </w:p>
          <w:p w14:paraId="6A458053">
            <w:pPr>
              <w:pageBreakBefore w:val="0"/>
              <w:numPr>
                <w:ilvl w:val="0"/>
                <w:numId w:val="1"/>
              </w:numPr>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具备老年人疾病护理能力：能够识别老年人常见疾病，并进行相应的护理和照护；</w:t>
            </w:r>
          </w:p>
          <w:p w14:paraId="632B014F">
            <w:pPr>
              <w:pageBreakBefore w:val="0"/>
              <w:numPr>
                <w:ilvl w:val="0"/>
                <w:numId w:val="1"/>
              </w:numPr>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具备老年康复保健能力：掌握中医康复、按摩、拔罐等传统康复方法，以及现代康复技术；</w:t>
            </w:r>
          </w:p>
          <w:p w14:paraId="077645F7">
            <w:pPr>
              <w:pageBreakBefore w:val="0"/>
              <w:numPr>
                <w:ilvl w:val="0"/>
                <w:numId w:val="1"/>
              </w:numPr>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具备老年人精神护理能力：了解老年人心理特点，学习心理疏导和沟通技巧，提供心理支持；</w:t>
            </w:r>
          </w:p>
          <w:p w14:paraId="559F5C23">
            <w:pPr>
              <w:pageBreakBefore w:val="0"/>
              <w:numPr>
                <w:ilvl w:val="0"/>
                <w:numId w:val="1"/>
              </w:numPr>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具备老年人安全防护能力：能够识别老年人可能面临的安全风险，并采取相应的防护措施；</w:t>
            </w:r>
          </w:p>
          <w:p w14:paraId="0655F6CE">
            <w:pPr>
              <w:pageBreakBefore w:val="0"/>
              <w:numPr>
                <w:ilvl w:val="0"/>
                <w:numId w:val="1"/>
              </w:numPr>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具备老年人休闲活动组织与策划能力：能够组织老年人开展文娱体育活动，丰富老年人的精神生活。</w:t>
            </w:r>
          </w:p>
          <w:p w14:paraId="6826AF85">
            <w:pPr>
              <w:pageBreakBefore w:val="0"/>
              <w:numPr>
                <w:ilvl w:val="0"/>
                <w:numId w:val="1"/>
              </w:numPr>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向服务对象及其家属提供康复相关知识的教育，增强他们的自我管理和康复参与度，同时提供必要的心理支持和咨询服务；</w:t>
            </w:r>
          </w:p>
          <w:p w14:paraId="64548EBF">
            <w:pPr>
              <w:pageBreakBefore w:val="0"/>
              <w:numPr>
                <w:ilvl w:val="0"/>
                <w:numId w:val="1"/>
              </w:numPr>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了解并应用基本的心理学原理和干预技巧，帮助服务对象处理情绪问题，促进心理健康和积极的生活态度；</w:t>
            </w:r>
          </w:p>
          <w:p w14:paraId="64C2FA77">
            <w:pPr>
              <w:pageBreakBefore w:val="0"/>
              <w:numPr>
                <w:ilvl w:val="0"/>
                <w:numId w:val="1"/>
              </w:numPr>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从事养老服务行业的技术服务工作和基层管理工作的能力：能够胜任养老机构的日常运营管理和技术服务工作。</w:t>
            </w:r>
          </w:p>
          <w:p w14:paraId="33AC778F">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p>
          <w:p w14:paraId="5738AE9F">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p>
        </w:tc>
        <w:tc>
          <w:tcPr>
            <w:tcW w:w="2394" w:type="dxa"/>
            <w:vAlign w:val="center"/>
          </w:tcPr>
          <w:p w14:paraId="4A61999F">
            <w:pPr>
              <w:pStyle w:val="2"/>
              <w:pageBreakBefore w:val="0"/>
              <w:kinsoku/>
              <w:wordWrap/>
              <w:overflowPunct/>
              <w:topLinePunct w:val="0"/>
              <w:bidi w:val="0"/>
              <w:snapToGrid/>
              <w:spacing w:after="0" w:line="360" w:lineRule="exact"/>
              <w:textAlignment w:val="auto"/>
              <w:rPr>
                <w:rFonts w:hint="eastAsia" w:ascii="宋体" w:hAnsi="宋体" w:eastAsia="宋体" w:cs="宋体"/>
                <w:bCs/>
                <w:sz w:val="18"/>
                <w:szCs w:val="18"/>
                <w:lang w:val="en-US" w:eastAsia="zh-CN"/>
              </w:rPr>
            </w:pPr>
            <w:r>
              <w:rPr>
                <w:rFonts w:hint="eastAsia" w:ascii="宋体" w:hAnsi="宋体" w:cs="宋体"/>
                <w:bCs/>
                <w:sz w:val="18"/>
                <w:szCs w:val="18"/>
              </w:rPr>
              <w:t>老年人生活与基础照护</w:t>
            </w:r>
            <w:r>
              <w:rPr>
                <w:rFonts w:hint="eastAsia" w:ascii="宋体" w:hAnsi="宋体" w:cs="宋体"/>
                <w:bCs/>
                <w:sz w:val="18"/>
                <w:szCs w:val="18"/>
                <w:lang w:val="en-US" w:eastAsia="zh-CN"/>
              </w:rPr>
              <w:t>实务</w:t>
            </w:r>
          </w:p>
          <w:p w14:paraId="422DBADC">
            <w:pPr>
              <w:pStyle w:val="2"/>
              <w:pageBreakBefore w:val="0"/>
              <w:kinsoku/>
              <w:wordWrap/>
              <w:overflowPunct/>
              <w:topLinePunct w:val="0"/>
              <w:bidi w:val="0"/>
              <w:snapToGrid/>
              <w:spacing w:after="0" w:line="360" w:lineRule="exact"/>
              <w:textAlignment w:val="auto"/>
              <w:rPr>
                <w:rFonts w:ascii="宋体" w:hAnsi="宋体" w:cs="宋体"/>
                <w:bCs/>
                <w:sz w:val="18"/>
                <w:szCs w:val="18"/>
              </w:rPr>
            </w:pPr>
            <w:r>
              <w:rPr>
                <w:rFonts w:hint="eastAsia" w:ascii="宋体" w:hAnsi="宋体" w:cs="宋体"/>
                <w:bCs/>
                <w:sz w:val="18"/>
                <w:szCs w:val="18"/>
              </w:rPr>
              <w:t>老年营养与膳食指导</w:t>
            </w:r>
          </w:p>
          <w:p w14:paraId="57985C79">
            <w:pPr>
              <w:pStyle w:val="2"/>
              <w:pageBreakBefore w:val="0"/>
              <w:kinsoku/>
              <w:wordWrap/>
              <w:overflowPunct/>
              <w:topLinePunct w:val="0"/>
              <w:bidi w:val="0"/>
              <w:snapToGrid/>
              <w:spacing w:after="0" w:line="360" w:lineRule="exact"/>
              <w:textAlignment w:val="auto"/>
              <w:rPr>
                <w:rFonts w:hint="default" w:ascii="宋体" w:hAnsi="宋体" w:cs="宋体"/>
                <w:bCs/>
                <w:sz w:val="18"/>
                <w:szCs w:val="18"/>
                <w:lang w:val="en-US" w:eastAsia="zh-CN"/>
              </w:rPr>
            </w:pPr>
            <w:r>
              <w:rPr>
                <w:rFonts w:hint="eastAsia" w:ascii="宋体" w:hAnsi="宋体" w:cs="宋体"/>
                <w:bCs/>
                <w:sz w:val="18"/>
                <w:szCs w:val="18"/>
                <w:lang w:val="en-US" w:eastAsia="zh-CN"/>
              </w:rPr>
              <w:t>老年人能力评估实务</w:t>
            </w:r>
          </w:p>
          <w:p w14:paraId="743B15CF">
            <w:pPr>
              <w:pStyle w:val="2"/>
              <w:pageBreakBefore w:val="0"/>
              <w:kinsoku/>
              <w:wordWrap/>
              <w:overflowPunct/>
              <w:topLinePunct w:val="0"/>
              <w:bidi w:val="0"/>
              <w:snapToGrid/>
              <w:spacing w:after="0" w:line="360" w:lineRule="exact"/>
              <w:textAlignment w:val="auto"/>
              <w:rPr>
                <w:rFonts w:hint="eastAsia" w:ascii="宋体" w:hAnsi="宋体" w:cs="宋体"/>
                <w:bCs/>
                <w:sz w:val="18"/>
                <w:szCs w:val="18"/>
                <w:lang w:val="en-US" w:eastAsia="zh-CN"/>
              </w:rPr>
            </w:pPr>
            <w:r>
              <w:rPr>
                <w:rFonts w:hint="eastAsia" w:ascii="宋体" w:hAnsi="宋体" w:cs="宋体"/>
                <w:bCs/>
                <w:sz w:val="18"/>
                <w:szCs w:val="18"/>
              </w:rPr>
              <w:t>老年人心理护理</w:t>
            </w:r>
            <w:r>
              <w:rPr>
                <w:rFonts w:hint="eastAsia" w:ascii="宋体" w:hAnsi="宋体" w:cs="宋体"/>
                <w:bCs/>
                <w:sz w:val="18"/>
                <w:szCs w:val="18"/>
                <w:lang w:val="en-US" w:eastAsia="zh-CN"/>
              </w:rPr>
              <w:t>实务</w:t>
            </w:r>
          </w:p>
          <w:p w14:paraId="558EA4D7">
            <w:pPr>
              <w:pStyle w:val="2"/>
              <w:pageBreakBefore w:val="0"/>
              <w:kinsoku/>
              <w:wordWrap/>
              <w:overflowPunct/>
              <w:topLinePunct w:val="0"/>
              <w:bidi w:val="0"/>
              <w:snapToGrid/>
              <w:spacing w:after="0" w:line="360" w:lineRule="exact"/>
              <w:textAlignment w:val="auto"/>
              <w:rPr>
                <w:rFonts w:hint="eastAsia" w:ascii="宋体" w:hAnsi="宋体" w:eastAsia="宋体" w:cs="宋体"/>
                <w:bCs/>
                <w:sz w:val="18"/>
                <w:szCs w:val="18"/>
                <w:lang w:val="en-US" w:eastAsia="zh-CN"/>
              </w:rPr>
            </w:pPr>
            <w:r>
              <w:rPr>
                <w:rFonts w:hint="eastAsia" w:ascii="宋体" w:hAnsi="宋体" w:cs="宋体"/>
                <w:bCs/>
                <w:sz w:val="18"/>
                <w:szCs w:val="18"/>
              </w:rPr>
              <w:t>老年</w:t>
            </w:r>
            <w:r>
              <w:rPr>
                <w:rFonts w:hint="eastAsia" w:ascii="宋体" w:hAnsi="宋体" w:cs="宋体"/>
                <w:bCs/>
                <w:sz w:val="18"/>
                <w:szCs w:val="18"/>
                <w:lang w:val="en-US" w:eastAsia="zh-CN"/>
              </w:rPr>
              <w:t>健康照护</w:t>
            </w:r>
          </w:p>
          <w:p w14:paraId="3B2A65D6">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养老机构智慧运营与管理</w:t>
            </w:r>
          </w:p>
          <w:p w14:paraId="107BBC0E">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老年服务礼仪与沟通</w:t>
            </w:r>
          </w:p>
          <w:p w14:paraId="04B3B4AF">
            <w:pPr>
              <w:pageBreakBefore w:val="0"/>
              <w:kinsoku/>
              <w:wordWrap/>
              <w:overflowPunct/>
              <w:topLinePunct w:val="0"/>
              <w:bidi w:val="0"/>
              <w:snapToGrid/>
              <w:spacing w:line="360" w:lineRule="exact"/>
              <w:textAlignment w:val="auto"/>
              <w:rPr>
                <w:rFonts w:hint="default" w:ascii="宋体" w:hAnsi="宋体" w:eastAsia="宋体" w:cs="宋体"/>
                <w:bCs/>
                <w:sz w:val="18"/>
                <w:szCs w:val="18"/>
                <w:lang w:val="en-US" w:eastAsia="zh-CN"/>
              </w:rPr>
            </w:pPr>
            <w:r>
              <w:rPr>
                <w:rFonts w:hint="eastAsia" w:ascii="宋体" w:hAnsi="宋体" w:cs="宋体"/>
                <w:bCs/>
                <w:sz w:val="18"/>
                <w:szCs w:val="18"/>
              </w:rPr>
              <w:t>老年活动</w:t>
            </w:r>
            <w:r>
              <w:rPr>
                <w:rFonts w:hint="eastAsia" w:ascii="宋体" w:hAnsi="宋体" w:cs="宋体"/>
                <w:bCs/>
                <w:sz w:val="18"/>
                <w:szCs w:val="18"/>
                <w:lang w:val="en-US" w:eastAsia="zh-CN"/>
              </w:rPr>
              <w:t>策划与设计</w:t>
            </w:r>
          </w:p>
          <w:p w14:paraId="4CEF3672">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健康养老大数据应用</w:t>
            </w:r>
          </w:p>
          <w:p w14:paraId="19BAC13C">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老龄事业与产业发展</w:t>
            </w:r>
          </w:p>
          <w:p w14:paraId="6BA4D7F9">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老年用药基本知识</w:t>
            </w:r>
          </w:p>
        </w:tc>
      </w:tr>
      <w:tr w14:paraId="4911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68" w:type="dxa"/>
            <w:vMerge w:val="continue"/>
            <w:vAlign w:val="center"/>
          </w:tcPr>
          <w:p w14:paraId="4608355D">
            <w:pPr>
              <w:pageBreakBefore w:val="0"/>
              <w:kinsoku/>
              <w:wordWrap/>
              <w:overflowPunct/>
              <w:topLinePunct w:val="0"/>
              <w:bidi w:val="0"/>
              <w:snapToGrid/>
              <w:spacing w:line="360" w:lineRule="exact"/>
              <w:ind w:firstLine="422"/>
              <w:jc w:val="center"/>
              <w:textAlignment w:val="auto"/>
              <w:rPr>
                <w:rFonts w:ascii="宋体" w:hAnsi="宋体" w:cs="宋体"/>
                <w:b/>
                <w:bCs/>
                <w:szCs w:val="21"/>
              </w:rPr>
            </w:pPr>
          </w:p>
        </w:tc>
        <w:tc>
          <w:tcPr>
            <w:tcW w:w="704" w:type="dxa"/>
            <w:vAlign w:val="center"/>
          </w:tcPr>
          <w:p w14:paraId="094A5461">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职</w:t>
            </w:r>
          </w:p>
          <w:p w14:paraId="1C03EDBA">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业</w:t>
            </w:r>
          </w:p>
          <w:p w14:paraId="105D805E">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拓</w:t>
            </w:r>
          </w:p>
          <w:p w14:paraId="4F745E57">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展</w:t>
            </w:r>
          </w:p>
          <w:p w14:paraId="229CDB9D">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能</w:t>
            </w:r>
          </w:p>
          <w:p w14:paraId="4BD772BD">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力</w:t>
            </w:r>
          </w:p>
        </w:tc>
        <w:tc>
          <w:tcPr>
            <w:tcW w:w="5752" w:type="dxa"/>
            <w:vAlign w:val="center"/>
          </w:tcPr>
          <w:p w14:paraId="0C1B9E6A">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（1）跨学科整合能力：能够将不同学科的理论和方法融合应用于实际工作中，为老年人提供全面、个性化的服务；</w:t>
            </w:r>
          </w:p>
          <w:p w14:paraId="4CEEAB04">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（2）技术创新与应用能力：掌握物联网、大数据、人工智能等现代信息技术在养老服务中的应用，能够创新性地运用技术手段提升服务效率和质量；</w:t>
            </w:r>
          </w:p>
          <w:p w14:paraId="5A2B33EF">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（3）政策解读与适应能力：具备政策解读和适应能力，能够在政策变化中及时调整服务策略，确保服务的合规性和可持续性。；</w:t>
            </w:r>
          </w:p>
          <w:p w14:paraId="032C8483">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（4）市场分析与营销策略：了解养老服务市场的需求和竞争态势，能够制定有效的营销策略，推动服务产品的市场化和品牌化。</w:t>
            </w:r>
          </w:p>
          <w:p w14:paraId="4425AE70">
            <w:pPr>
              <w:pageBreakBefore w:val="0"/>
              <w:kinsoku/>
              <w:wordWrap/>
              <w:overflowPunct/>
              <w:topLinePunct w:val="0"/>
              <w:bidi w:val="0"/>
              <w:snapToGrid/>
              <w:spacing w:line="360" w:lineRule="exact"/>
              <w:textAlignment w:val="auto"/>
              <w:rPr>
                <w:rFonts w:ascii="宋体" w:hAnsi="宋体" w:cs="宋体"/>
                <w:bCs/>
                <w:sz w:val="18"/>
                <w:szCs w:val="18"/>
              </w:rPr>
            </w:pPr>
          </w:p>
        </w:tc>
        <w:tc>
          <w:tcPr>
            <w:tcW w:w="2394" w:type="dxa"/>
            <w:vAlign w:val="center"/>
          </w:tcPr>
          <w:p w14:paraId="69A5DEA3">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健康养老大数据应用</w:t>
            </w:r>
          </w:p>
          <w:p w14:paraId="05F3B725">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老年产品营销</w:t>
            </w:r>
          </w:p>
          <w:p w14:paraId="00AEDF1A">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老年康体指导</w:t>
            </w:r>
          </w:p>
          <w:p w14:paraId="5DAC7C0D">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康养政策法规与标准</w:t>
            </w:r>
          </w:p>
          <w:p w14:paraId="33F3F94E">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老年服务礼仪与沟通</w:t>
            </w:r>
          </w:p>
          <w:p w14:paraId="07CBC221">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养老机构智慧运营与管理</w:t>
            </w:r>
          </w:p>
          <w:p w14:paraId="2971D390">
            <w:pPr>
              <w:pageBreakBefore w:val="0"/>
              <w:kinsoku/>
              <w:wordWrap/>
              <w:overflowPunct/>
              <w:topLinePunct w:val="0"/>
              <w:bidi w:val="0"/>
              <w:snapToGrid/>
              <w:spacing w:line="360" w:lineRule="exact"/>
              <w:textAlignment w:val="auto"/>
              <w:rPr>
                <w:rFonts w:hint="eastAsia" w:ascii="宋体" w:hAnsi="宋体" w:cs="宋体"/>
                <w:bCs/>
                <w:sz w:val="18"/>
                <w:szCs w:val="18"/>
              </w:rPr>
            </w:pPr>
            <w:r>
              <w:rPr>
                <w:rFonts w:hint="eastAsia" w:ascii="宋体" w:hAnsi="宋体" w:cs="宋体"/>
                <w:bCs/>
                <w:sz w:val="18"/>
                <w:szCs w:val="18"/>
              </w:rPr>
              <w:t>老龄事业与产业发展</w:t>
            </w:r>
          </w:p>
          <w:p w14:paraId="57944EE4">
            <w:pPr>
              <w:pStyle w:val="2"/>
              <w:pageBreakBefore w:val="0"/>
              <w:kinsoku/>
              <w:wordWrap/>
              <w:overflowPunct/>
              <w:topLinePunct w:val="0"/>
              <w:bidi w:val="0"/>
              <w:snapToGrid/>
              <w:spacing w:after="0" w:line="360" w:lineRule="exact"/>
              <w:textAlignment w:val="auto"/>
              <w:rPr>
                <w:rFonts w:hint="eastAsia" w:eastAsia="宋体"/>
                <w:lang w:val="en-US" w:eastAsia="zh-CN"/>
              </w:rPr>
            </w:pPr>
            <w:r>
              <w:rPr>
                <w:rFonts w:hint="eastAsia" w:ascii="宋体" w:hAnsi="宋体" w:cs="宋体"/>
                <w:bCs/>
                <w:sz w:val="18"/>
                <w:szCs w:val="18"/>
                <w:lang w:val="en-US" w:eastAsia="zh-CN"/>
              </w:rPr>
              <w:t>中国传统康复技术</w:t>
            </w:r>
          </w:p>
        </w:tc>
      </w:tr>
      <w:tr w14:paraId="45DA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vAlign w:val="center"/>
          </w:tcPr>
          <w:p w14:paraId="7FA4E9CA">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素</w:t>
            </w:r>
          </w:p>
          <w:p w14:paraId="1A0898A4">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质</w:t>
            </w:r>
          </w:p>
          <w:p w14:paraId="0C5ED733">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结</w:t>
            </w:r>
          </w:p>
          <w:p w14:paraId="57746298">
            <w:pPr>
              <w:pageBreakBefore w:val="0"/>
              <w:kinsoku/>
              <w:wordWrap/>
              <w:overflowPunct/>
              <w:topLinePunct w:val="0"/>
              <w:bidi w:val="0"/>
              <w:snapToGrid/>
              <w:spacing w:line="360" w:lineRule="exact"/>
              <w:jc w:val="center"/>
              <w:textAlignment w:val="auto"/>
              <w:rPr>
                <w:rFonts w:ascii="宋体" w:hAnsi="宋体" w:cs="宋体"/>
                <w:b/>
                <w:bCs/>
                <w:szCs w:val="21"/>
              </w:rPr>
            </w:pPr>
            <w:r>
              <w:rPr>
                <w:rFonts w:hint="eastAsia" w:ascii="宋体" w:hAnsi="宋体" w:cs="宋体"/>
                <w:b/>
                <w:bCs/>
                <w:sz w:val="18"/>
                <w:szCs w:val="18"/>
              </w:rPr>
              <w:t>构</w:t>
            </w:r>
          </w:p>
        </w:tc>
        <w:tc>
          <w:tcPr>
            <w:tcW w:w="704" w:type="dxa"/>
            <w:vAlign w:val="center"/>
          </w:tcPr>
          <w:p w14:paraId="24C00BAC">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思</w:t>
            </w:r>
          </w:p>
          <w:p w14:paraId="536393ED">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想</w:t>
            </w:r>
          </w:p>
          <w:p w14:paraId="40AF6A10">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政</w:t>
            </w:r>
          </w:p>
          <w:p w14:paraId="6D8A849A">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治</w:t>
            </w:r>
          </w:p>
          <w:p w14:paraId="212E62BE">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素</w:t>
            </w:r>
          </w:p>
          <w:p w14:paraId="627E4926">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质</w:t>
            </w:r>
          </w:p>
        </w:tc>
        <w:tc>
          <w:tcPr>
            <w:tcW w:w="5752" w:type="dxa"/>
            <w:vAlign w:val="center"/>
          </w:tcPr>
          <w:p w14:paraId="3F9A233E">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（1）具有深厚的爱国情感、国家认同感、中华民族自豪感；</w:t>
            </w:r>
          </w:p>
          <w:p w14:paraId="48E71D8E">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（2）热爱社会主义，坚决拥护中国共产党的领导，树立中国特色社会主义共同理想，践行社会主义核心价值观；</w:t>
            </w:r>
          </w:p>
          <w:p w14:paraId="51107C16">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（3）崇尚宪法、遵守法律、遵规守纪，具有社会责任感和参与意识；</w:t>
            </w:r>
          </w:p>
          <w:p w14:paraId="06907533">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（4）树立正确的世界观、人生观、价值观。</w:t>
            </w:r>
          </w:p>
        </w:tc>
        <w:tc>
          <w:tcPr>
            <w:tcW w:w="2394" w:type="dxa"/>
            <w:vAlign w:val="center"/>
          </w:tcPr>
          <w:p w14:paraId="33A3B347">
            <w:pPr>
              <w:pStyle w:val="6"/>
              <w:pageBreakBefore w:val="0"/>
              <w:kinsoku/>
              <w:wordWrap/>
              <w:overflowPunct/>
              <w:topLinePunct w:val="0"/>
              <w:bidi w:val="0"/>
              <w:snapToGrid/>
              <w:spacing w:line="360" w:lineRule="exact"/>
              <w:textAlignment w:val="auto"/>
              <w:outlineLvl w:val="3"/>
              <w:rPr>
                <w:rFonts w:hint="eastAsia" w:ascii="宋体" w:hAnsi="宋体" w:cs="宋体"/>
                <w:b w:val="0"/>
                <w:bCs/>
                <w:color w:val="auto"/>
                <w:sz w:val="18"/>
                <w:szCs w:val="18"/>
              </w:rPr>
            </w:pPr>
            <w:r>
              <w:rPr>
                <w:rFonts w:hint="eastAsia" w:ascii="宋体" w:hAnsi="宋体" w:cs="宋体"/>
                <w:b w:val="0"/>
                <w:bCs/>
                <w:color w:val="auto"/>
                <w:sz w:val="18"/>
                <w:szCs w:val="18"/>
              </w:rPr>
              <w:t>形势与政策</w:t>
            </w:r>
          </w:p>
          <w:p w14:paraId="45A0689E">
            <w:pPr>
              <w:rPr>
                <w:rFonts w:hint="default" w:eastAsia="宋体"/>
                <w:lang w:val="en-US" w:eastAsia="zh-CN"/>
              </w:rPr>
            </w:pPr>
            <w:r>
              <w:rPr>
                <w:rFonts w:hint="eastAsia" w:ascii="宋体" w:hAnsi="宋体" w:cs="宋体"/>
                <w:b w:val="0"/>
                <w:bCs/>
                <w:color w:val="auto"/>
                <w:sz w:val="18"/>
                <w:szCs w:val="18"/>
                <w:lang w:val="en-US" w:eastAsia="zh-CN"/>
              </w:rPr>
              <w:t>军事技能训练及入学教育</w:t>
            </w:r>
          </w:p>
          <w:p w14:paraId="48B0A6AF">
            <w:pPr>
              <w:pageBreakBefore w:val="0"/>
              <w:kinsoku/>
              <w:wordWrap/>
              <w:overflowPunct/>
              <w:topLinePunct w:val="0"/>
              <w:bidi w:val="0"/>
              <w:snapToGrid/>
              <w:spacing w:line="360" w:lineRule="exact"/>
              <w:textAlignment w:val="auto"/>
              <w:rPr>
                <w:rFonts w:hint="default" w:eastAsia="宋体"/>
                <w:lang w:val="en-US" w:eastAsia="zh-CN"/>
              </w:rPr>
            </w:pPr>
            <w:r>
              <w:rPr>
                <w:rFonts w:hint="eastAsia" w:ascii="宋体" w:hAnsi="宋体" w:cs="宋体"/>
                <w:b w:val="0"/>
                <w:bCs/>
                <w:color w:val="auto"/>
                <w:sz w:val="18"/>
                <w:szCs w:val="18"/>
                <w:lang w:val="en-US" w:eastAsia="zh-CN"/>
              </w:rPr>
              <w:t>习近平新时代中国特色社会主义思想概论</w:t>
            </w:r>
          </w:p>
          <w:p w14:paraId="41FFB748">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毛泽东思想与中国特色社会主义理论体系概论</w:t>
            </w:r>
          </w:p>
          <w:p w14:paraId="4328C9D1">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ascii="宋体" w:hAnsi="宋体" w:cs="宋体"/>
                <w:b w:val="0"/>
                <w:bCs/>
                <w:color w:val="auto"/>
                <w:sz w:val="18"/>
                <w:szCs w:val="18"/>
              </w:rPr>
              <w:t>思想道德与法治</w:t>
            </w:r>
          </w:p>
          <w:p w14:paraId="2765013A">
            <w:pPr>
              <w:pStyle w:val="6"/>
              <w:pageBreakBefore w:val="0"/>
              <w:kinsoku/>
              <w:wordWrap/>
              <w:overflowPunct/>
              <w:topLinePunct w:val="0"/>
              <w:bidi w:val="0"/>
              <w:snapToGrid/>
              <w:spacing w:line="360" w:lineRule="exact"/>
              <w:textAlignment w:val="auto"/>
              <w:outlineLvl w:val="3"/>
              <w:rPr>
                <w:rFonts w:hint="eastAsia" w:ascii="宋体" w:hAnsi="宋体" w:cs="宋体"/>
                <w:b w:val="0"/>
                <w:bCs/>
                <w:color w:val="auto"/>
                <w:sz w:val="18"/>
                <w:szCs w:val="18"/>
              </w:rPr>
            </w:pPr>
            <w:r>
              <w:rPr>
                <w:rFonts w:hint="eastAsia" w:ascii="宋体" w:hAnsi="宋体" w:cs="宋体"/>
                <w:b w:val="0"/>
                <w:bCs/>
                <w:color w:val="auto"/>
                <w:sz w:val="18"/>
                <w:szCs w:val="18"/>
              </w:rPr>
              <w:t>国家安全教育</w:t>
            </w:r>
          </w:p>
          <w:p w14:paraId="7F03297E">
            <w:pPr>
              <w:pageBreakBefore w:val="0"/>
              <w:kinsoku/>
              <w:wordWrap/>
              <w:overflowPunct/>
              <w:topLinePunct w:val="0"/>
              <w:bidi w:val="0"/>
              <w:snapToGrid/>
              <w:spacing w:line="360" w:lineRule="exact"/>
              <w:textAlignment w:val="auto"/>
            </w:pPr>
          </w:p>
        </w:tc>
      </w:tr>
      <w:tr w14:paraId="747C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5AC3C003">
            <w:pPr>
              <w:pageBreakBefore w:val="0"/>
              <w:kinsoku/>
              <w:wordWrap/>
              <w:overflowPunct/>
              <w:topLinePunct w:val="0"/>
              <w:bidi w:val="0"/>
              <w:snapToGrid/>
              <w:spacing w:line="360" w:lineRule="exact"/>
              <w:ind w:firstLine="422"/>
              <w:jc w:val="center"/>
              <w:textAlignment w:val="auto"/>
              <w:rPr>
                <w:rFonts w:ascii="宋体" w:hAnsi="宋体" w:cs="宋体"/>
                <w:b/>
                <w:bCs/>
                <w:szCs w:val="21"/>
              </w:rPr>
            </w:pPr>
          </w:p>
        </w:tc>
        <w:tc>
          <w:tcPr>
            <w:tcW w:w="704" w:type="dxa"/>
            <w:vAlign w:val="center"/>
          </w:tcPr>
          <w:p w14:paraId="04F86B45">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职</w:t>
            </w:r>
          </w:p>
          <w:p w14:paraId="2FEA0CD8">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业</w:t>
            </w:r>
          </w:p>
          <w:p w14:paraId="7BE10467">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素</w:t>
            </w:r>
          </w:p>
          <w:p w14:paraId="0231BC3A">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质</w:t>
            </w:r>
          </w:p>
        </w:tc>
        <w:tc>
          <w:tcPr>
            <w:tcW w:w="5752" w:type="dxa"/>
            <w:vAlign w:val="center"/>
          </w:tcPr>
          <w:p w14:paraId="434625C8">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（1）爱岗敬业，遵规守纪，自律进取，勇于创新；</w:t>
            </w:r>
          </w:p>
          <w:p w14:paraId="37917940">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（2）具有明确的社会责任感和强烈的事业心；</w:t>
            </w:r>
          </w:p>
          <w:p w14:paraId="6D8CCD27">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（3）具有良好的思想品德、社会公德和职业道德；</w:t>
            </w:r>
          </w:p>
          <w:p w14:paraId="7AB6473A">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（4）具有求实创新的科学精神、刻苦钻研的实干精神、团结协作的团队精神。</w:t>
            </w:r>
          </w:p>
        </w:tc>
        <w:tc>
          <w:tcPr>
            <w:tcW w:w="2394" w:type="dxa"/>
            <w:vAlign w:val="center"/>
          </w:tcPr>
          <w:p w14:paraId="74C22DE5">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职业发展与就业指导</w:t>
            </w:r>
          </w:p>
          <w:p w14:paraId="134775BF">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劳动教育与实践</w:t>
            </w:r>
          </w:p>
          <w:p w14:paraId="4BDB2F4D">
            <w:pPr>
              <w:pStyle w:val="6"/>
              <w:pageBreakBefore w:val="0"/>
              <w:kinsoku/>
              <w:wordWrap/>
              <w:overflowPunct/>
              <w:topLinePunct w:val="0"/>
              <w:bidi w:val="0"/>
              <w:snapToGrid/>
              <w:spacing w:line="360" w:lineRule="exact"/>
              <w:textAlignment w:val="auto"/>
              <w:outlineLvl w:val="3"/>
              <w:rPr>
                <w:rStyle w:val="17"/>
                <w:rFonts w:ascii="Times New Roman" w:hAnsi="Times New Roman"/>
                <w:b w:val="0"/>
                <w:color w:val="auto"/>
              </w:rPr>
            </w:pPr>
            <w:r>
              <w:rPr>
                <w:rFonts w:ascii="宋体" w:hAnsi="宋体" w:cs="宋体"/>
                <w:b w:val="0"/>
                <w:bCs/>
                <w:color w:val="auto"/>
                <w:sz w:val="18"/>
                <w:szCs w:val="18"/>
              </w:rPr>
              <w:t>大学生心理健康教育</w:t>
            </w:r>
          </w:p>
          <w:p w14:paraId="4E4A3B05">
            <w:pPr>
              <w:pageBreakBefore w:val="0"/>
              <w:kinsoku/>
              <w:wordWrap/>
              <w:overflowPunct/>
              <w:topLinePunct w:val="0"/>
              <w:bidi w:val="0"/>
              <w:snapToGrid/>
              <w:spacing w:line="360" w:lineRule="exac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信息技术</w:t>
            </w:r>
          </w:p>
          <w:p w14:paraId="734C350F">
            <w:pPr>
              <w:pStyle w:val="2"/>
              <w:pageBreakBefore w:val="0"/>
              <w:kinsoku/>
              <w:wordWrap/>
              <w:overflowPunct/>
              <w:topLinePunct w:val="0"/>
              <w:bidi w:val="0"/>
              <w:snapToGrid/>
              <w:spacing w:after="0" w:line="360" w:lineRule="exact"/>
              <w:textAlignment w:val="auto"/>
              <w:rPr>
                <w:rFonts w:hint="default"/>
                <w:lang w:val="en-US" w:eastAsia="zh-CN"/>
              </w:rPr>
            </w:pPr>
            <w:r>
              <w:rPr>
                <w:rFonts w:hint="eastAsia" w:ascii="宋体" w:hAnsi="宋体" w:cs="宋体"/>
                <w:b w:val="0"/>
                <w:bCs/>
                <w:color w:val="auto"/>
                <w:kern w:val="2"/>
                <w:sz w:val="18"/>
                <w:szCs w:val="18"/>
                <w:lang w:val="en-US" w:eastAsia="zh-CN" w:bidi="ar-SA"/>
              </w:rPr>
              <w:t>人工智能与应用</w:t>
            </w:r>
          </w:p>
        </w:tc>
      </w:tr>
      <w:tr w14:paraId="4732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67C6A8DD">
            <w:pPr>
              <w:pageBreakBefore w:val="0"/>
              <w:kinsoku/>
              <w:wordWrap/>
              <w:overflowPunct/>
              <w:topLinePunct w:val="0"/>
              <w:bidi w:val="0"/>
              <w:snapToGrid/>
              <w:spacing w:line="360" w:lineRule="exact"/>
              <w:ind w:firstLine="422"/>
              <w:jc w:val="center"/>
              <w:textAlignment w:val="auto"/>
              <w:rPr>
                <w:rFonts w:ascii="宋体" w:hAnsi="宋体" w:cs="宋体"/>
                <w:b/>
                <w:bCs/>
                <w:szCs w:val="21"/>
              </w:rPr>
            </w:pPr>
          </w:p>
        </w:tc>
        <w:tc>
          <w:tcPr>
            <w:tcW w:w="704" w:type="dxa"/>
            <w:vAlign w:val="center"/>
          </w:tcPr>
          <w:p w14:paraId="361F186F">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人</w:t>
            </w:r>
          </w:p>
          <w:p w14:paraId="5601B0D7">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文</w:t>
            </w:r>
          </w:p>
          <w:p w14:paraId="1218C4D0">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素</w:t>
            </w:r>
          </w:p>
          <w:p w14:paraId="669AC140">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质</w:t>
            </w:r>
          </w:p>
        </w:tc>
        <w:tc>
          <w:tcPr>
            <w:tcW w:w="5752" w:type="dxa"/>
            <w:vAlign w:val="center"/>
          </w:tcPr>
          <w:p w14:paraId="6900DE23">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（1）具有良好的文化修养；</w:t>
            </w:r>
          </w:p>
          <w:p w14:paraId="1EC75926">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（2）具有感受美、表现美、鉴赏美、创造美的能力，具有一定的审美和人文素养；</w:t>
            </w:r>
          </w:p>
          <w:p w14:paraId="36D098F3">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（3）能够形成一两项艺术特长或爱好。</w:t>
            </w:r>
          </w:p>
          <w:p w14:paraId="53D510DC">
            <w:pPr>
              <w:pStyle w:val="6"/>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（4）具有较强的自学能力、创新意识和一定的社会活动能力。</w:t>
            </w:r>
          </w:p>
        </w:tc>
        <w:tc>
          <w:tcPr>
            <w:tcW w:w="2394" w:type="dxa"/>
            <w:vAlign w:val="center"/>
          </w:tcPr>
          <w:p w14:paraId="620E043B">
            <w:pPr>
              <w:pStyle w:val="6"/>
              <w:pageBreakBefore w:val="0"/>
              <w:widowControl w:val="0"/>
              <w:kinsoku/>
              <w:wordWrap/>
              <w:overflowPunct/>
              <w:topLinePunct w:val="0"/>
              <w:autoSpaceDE/>
              <w:autoSpaceDN/>
              <w:bidi w:val="0"/>
              <w:adjustRightInd/>
              <w:snapToGrid/>
              <w:spacing w:line="360" w:lineRule="exact"/>
              <w:textAlignment w:val="auto"/>
              <w:outlineLvl w:val="3"/>
              <w:rPr>
                <w:rFonts w:ascii="宋体" w:hAnsi="宋体" w:cs="宋体"/>
                <w:b w:val="0"/>
                <w:bCs/>
                <w:color w:val="auto"/>
                <w:sz w:val="18"/>
                <w:szCs w:val="18"/>
              </w:rPr>
            </w:pPr>
            <w:r>
              <w:rPr>
                <w:rFonts w:ascii="宋体" w:hAnsi="宋体" w:cs="宋体"/>
                <w:b w:val="0"/>
                <w:bCs/>
                <w:color w:val="auto"/>
                <w:sz w:val="18"/>
                <w:szCs w:val="18"/>
              </w:rPr>
              <w:t>大学语文</w:t>
            </w:r>
          </w:p>
          <w:p w14:paraId="1A3036C4">
            <w:pPr>
              <w:pStyle w:val="6"/>
              <w:pageBreakBefore w:val="0"/>
              <w:widowControl w:val="0"/>
              <w:kinsoku/>
              <w:wordWrap/>
              <w:overflowPunct/>
              <w:topLinePunct w:val="0"/>
              <w:autoSpaceDE/>
              <w:autoSpaceDN/>
              <w:bidi w:val="0"/>
              <w:adjustRightInd/>
              <w:snapToGrid/>
              <w:spacing w:line="360" w:lineRule="exact"/>
              <w:textAlignment w:val="auto"/>
              <w:outlineLvl w:val="3"/>
              <w:rPr>
                <w:rFonts w:hint="eastAsia" w:ascii="宋体" w:hAnsi="宋体" w:cs="宋体"/>
                <w:b w:val="0"/>
                <w:bCs/>
                <w:color w:val="auto"/>
                <w:sz w:val="18"/>
                <w:szCs w:val="18"/>
              </w:rPr>
            </w:pPr>
            <w:r>
              <w:rPr>
                <w:rFonts w:hint="eastAsia" w:ascii="宋体" w:hAnsi="宋体" w:cs="宋体"/>
                <w:b w:val="0"/>
                <w:bCs/>
                <w:color w:val="auto"/>
                <w:sz w:val="18"/>
                <w:szCs w:val="18"/>
              </w:rPr>
              <w:t>劳动教育与实践</w:t>
            </w:r>
          </w:p>
          <w:p w14:paraId="17D1935F">
            <w:pPr>
              <w:pStyle w:val="6"/>
              <w:pageBreakBefore w:val="0"/>
              <w:widowControl w:val="0"/>
              <w:kinsoku/>
              <w:wordWrap/>
              <w:overflowPunct/>
              <w:topLinePunct w:val="0"/>
              <w:autoSpaceDE/>
              <w:autoSpaceDN/>
              <w:bidi w:val="0"/>
              <w:adjustRightInd/>
              <w:snapToGrid/>
              <w:spacing w:line="360" w:lineRule="exact"/>
              <w:textAlignment w:val="auto"/>
              <w:outlineLvl w:val="3"/>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公共艺术类课程</w:t>
            </w:r>
          </w:p>
          <w:p w14:paraId="63EC7E4B">
            <w:pPr>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钧瓷鉴赏</w:t>
            </w:r>
          </w:p>
          <w:p w14:paraId="3BB6C69A">
            <w:pPr>
              <w:pStyle w:val="2"/>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书法鉴赏</w:t>
            </w:r>
          </w:p>
        </w:tc>
      </w:tr>
      <w:tr w14:paraId="1037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3837D10A">
            <w:pPr>
              <w:pageBreakBefore w:val="0"/>
              <w:kinsoku/>
              <w:wordWrap/>
              <w:overflowPunct/>
              <w:topLinePunct w:val="0"/>
              <w:bidi w:val="0"/>
              <w:snapToGrid/>
              <w:spacing w:line="360" w:lineRule="exact"/>
              <w:ind w:firstLine="422"/>
              <w:jc w:val="center"/>
              <w:textAlignment w:val="auto"/>
              <w:rPr>
                <w:rFonts w:ascii="宋体" w:hAnsi="宋体" w:cs="宋体"/>
                <w:b/>
                <w:bCs/>
                <w:szCs w:val="21"/>
              </w:rPr>
            </w:pPr>
          </w:p>
        </w:tc>
        <w:tc>
          <w:tcPr>
            <w:tcW w:w="704" w:type="dxa"/>
            <w:vAlign w:val="center"/>
          </w:tcPr>
          <w:p w14:paraId="78AA195A">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身</w:t>
            </w:r>
          </w:p>
          <w:p w14:paraId="45DF5023">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心</w:t>
            </w:r>
          </w:p>
          <w:p w14:paraId="6F0D00F4">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素</w:t>
            </w:r>
          </w:p>
          <w:p w14:paraId="7E5B8E88">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质</w:t>
            </w:r>
          </w:p>
        </w:tc>
        <w:tc>
          <w:tcPr>
            <w:tcW w:w="5752" w:type="dxa"/>
            <w:vAlign w:val="center"/>
          </w:tcPr>
          <w:p w14:paraId="1079B565">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（1）具有健康的体魄和心理、健全的人格，能够掌握基本运动知识和一两项运动技能</w:t>
            </w:r>
          </w:p>
          <w:p w14:paraId="01EB9080">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（2）具有坚强的意志和乐观向上的精神风貌。</w:t>
            </w:r>
          </w:p>
        </w:tc>
        <w:tc>
          <w:tcPr>
            <w:tcW w:w="2394" w:type="dxa"/>
            <w:vAlign w:val="center"/>
          </w:tcPr>
          <w:p w14:paraId="0BA0E214">
            <w:pPr>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大学体育</w:t>
            </w:r>
          </w:p>
          <w:p w14:paraId="10845BDC">
            <w:pPr>
              <w:pageBreakBefore w:val="0"/>
              <w:kinsoku/>
              <w:wordWrap/>
              <w:overflowPunct/>
              <w:topLinePunct w:val="0"/>
              <w:bidi w:val="0"/>
              <w:snapToGrid/>
              <w:spacing w:line="360" w:lineRule="exact"/>
              <w:textAlignment w:val="auto"/>
              <w:rPr>
                <w:rFonts w:ascii="宋体" w:hAnsi="宋体" w:cs="宋体"/>
                <w:bCs/>
                <w:sz w:val="18"/>
                <w:szCs w:val="18"/>
              </w:rPr>
            </w:pPr>
            <w:r>
              <w:rPr>
                <w:rFonts w:ascii="宋体" w:hAnsi="宋体" w:cs="宋体"/>
                <w:bCs/>
                <w:sz w:val="18"/>
                <w:szCs w:val="18"/>
              </w:rPr>
              <w:t>大学生心理健康教育</w:t>
            </w:r>
          </w:p>
        </w:tc>
      </w:tr>
    </w:tbl>
    <w:p w14:paraId="43EF3F46">
      <w:pPr>
        <w:pStyle w:val="3"/>
        <w:pageBreakBefore w:val="0"/>
        <w:kinsoku/>
        <w:wordWrap/>
        <w:overflowPunct/>
        <w:topLinePunct w:val="0"/>
        <w:bidi w:val="0"/>
        <w:snapToGrid/>
        <w:spacing w:before="0" w:beforeLines="0" w:after="0" w:afterLines="0" w:line="360" w:lineRule="exact"/>
        <w:ind w:firstLine="482"/>
        <w:textAlignment w:val="auto"/>
        <w:rPr>
          <w:rFonts w:hint="default" w:ascii="Times New Roman" w:hAnsi="Times New Roman"/>
          <w:kern w:val="2"/>
          <w:sz w:val="24"/>
          <w:szCs w:val="24"/>
        </w:rPr>
      </w:pPr>
      <w:r>
        <w:rPr>
          <w:rFonts w:ascii="Times New Roman" w:hAnsi="Times New Roman"/>
          <w:kern w:val="2"/>
          <w:sz w:val="24"/>
          <w:szCs w:val="24"/>
        </w:rPr>
        <w:t>六、课程设置及要求</w:t>
      </w:r>
    </w:p>
    <w:p w14:paraId="70AE9662">
      <w:pPr>
        <w:pageBreakBefore w:val="0"/>
        <w:kinsoku/>
        <w:wordWrap/>
        <w:overflowPunct/>
        <w:topLinePunct w:val="0"/>
        <w:bidi w:val="0"/>
        <w:snapToGrid/>
        <w:spacing w:line="360" w:lineRule="exact"/>
        <w:ind w:firstLine="422" w:firstLineChars="200"/>
        <w:textAlignment w:val="auto"/>
        <w:rPr>
          <w:rFonts w:ascii="宋体" w:hAnsi="宋体"/>
          <w:b/>
          <w:szCs w:val="21"/>
        </w:rPr>
      </w:pPr>
      <w:r>
        <w:rPr>
          <w:rFonts w:hint="eastAsia" w:ascii="宋体" w:hAnsi="宋体" w:cs="宋体"/>
          <w:b/>
          <w:szCs w:val="21"/>
        </w:rPr>
        <w:t>（一）公共基础课程</w:t>
      </w:r>
    </w:p>
    <w:tbl>
      <w:tblPr>
        <w:tblStyle w:val="15"/>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2778"/>
        <w:gridCol w:w="2778"/>
        <w:gridCol w:w="2778"/>
      </w:tblGrid>
      <w:tr w14:paraId="3272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05E6E97">
            <w:pPr>
              <w:keepLines/>
              <w:pageBreakBefore w:val="0"/>
              <w:kinsoku/>
              <w:wordWrap/>
              <w:overflowPunct/>
              <w:topLinePunct w:val="0"/>
              <w:bidi w:val="0"/>
              <w:snapToGrid/>
              <w:spacing w:line="360" w:lineRule="exact"/>
              <w:jc w:val="center"/>
              <w:textAlignment w:val="auto"/>
              <w:rPr>
                <w:rFonts w:ascii="宋体" w:hAnsi="宋体" w:cs="宋体"/>
                <w:b/>
                <w:sz w:val="21"/>
                <w:szCs w:val="21"/>
              </w:rPr>
            </w:pPr>
            <w:r>
              <w:rPr>
                <w:rFonts w:hint="eastAsia" w:ascii="宋体" w:hAnsi="宋体" w:cs="宋体"/>
                <w:b/>
                <w:sz w:val="21"/>
                <w:szCs w:val="21"/>
              </w:rPr>
              <w:t>课程名称</w:t>
            </w:r>
          </w:p>
        </w:tc>
        <w:tc>
          <w:tcPr>
            <w:tcW w:w="2778" w:type="dxa"/>
            <w:vAlign w:val="center"/>
          </w:tcPr>
          <w:p w14:paraId="6B56C7BF">
            <w:pPr>
              <w:keepLines/>
              <w:pageBreakBefore w:val="0"/>
              <w:kinsoku/>
              <w:wordWrap/>
              <w:overflowPunct/>
              <w:topLinePunct w:val="0"/>
              <w:bidi w:val="0"/>
              <w:snapToGrid/>
              <w:spacing w:line="360" w:lineRule="exact"/>
              <w:jc w:val="center"/>
              <w:textAlignment w:val="auto"/>
              <w:rPr>
                <w:rFonts w:ascii="宋体" w:hAnsi="宋体" w:cs="宋体"/>
                <w:b/>
                <w:sz w:val="21"/>
                <w:szCs w:val="21"/>
              </w:rPr>
            </w:pPr>
            <w:r>
              <w:rPr>
                <w:rFonts w:hint="eastAsia" w:ascii="宋体" w:hAnsi="宋体" w:cs="宋体"/>
                <w:b/>
                <w:sz w:val="21"/>
                <w:szCs w:val="21"/>
              </w:rPr>
              <w:t>课程目标</w:t>
            </w:r>
          </w:p>
        </w:tc>
        <w:tc>
          <w:tcPr>
            <w:tcW w:w="2778" w:type="dxa"/>
            <w:vAlign w:val="center"/>
          </w:tcPr>
          <w:p w14:paraId="2B92CA47">
            <w:pPr>
              <w:keepLines/>
              <w:pageBreakBefore w:val="0"/>
              <w:kinsoku/>
              <w:wordWrap/>
              <w:overflowPunct/>
              <w:topLinePunct w:val="0"/>
              <w:bidi w:val="0"/>
              <w:snapToGrid/>
              <w:spacing w:line="360" w:lineRule="exact"/>
              <w:jc w:val="center"/>
              <w:textAlignment w:val="auto"/>
              <w:rPr>
                <w:rFonts w:ascii="宋体" w:hAnsi="宋体" w:cs="宋体"/>
                <w:b/>
                <w:sz w:val="21"/>
                <w:szCs w:val="21"/>
              </w:rPr>
            </w:pPr>
            <w:r>
              <w:rPr>
                <w:rFonts w:hint="eastAsia" w:ascii="宋体" w:hAnsi="宋体" w:cs="宋体"/>
                <w:b/>
                <w:sz w:val="21"/>
                <w:szCs w:val="21"/>
              </w:rPr>
              <w:t>主要内容</w:t>
            </w:r>
          </w:p>
        </w:tc>
        <w:tc>
          <w:tcPr>
            <w:tcW w:w="2778" w:type="dxa"/>
            <w:vAlign w:val="center"/>
          </w:tcPr>
          <w:p w14:paraId="1FD995E6">
            <w:pPr>
              <w:keepLines/>
              <w:pageBreakBefore w:val="0"/>
              <w:kinsoku/>
              <w:wordWrap/>
              <w:overflowPunct/>
              <w:topLinePunct w:val="0"/>
              <w:bidi w:val="0"/>
              <w:snapToGrid/>
              <w:spacing w:line="360" w:lineRule="exact"/>
              <w:jc w:val="center"/>
              <w:textAlignment w:val="auto"/>
              <w:rPr>
                <w:rFonts w:ascii="宋体" w:hAnsi="宋体" w:cs="宋体"/>
                <w:b/>
                <w:sz w:val="21"/>
                <w:szCs w:val="21"/>
              </w:rPr>
            </w:pPr>
            <w:r>
              <w:rPr>
                <w:rFonts w:hint="eastAsia" w:ascii="宋体" w:hAnsi="宋体" w:cs="宋体"/>
                <w:b/>
                <w:sz w:val="21"/>
                <w:szCs w:val="21"/>
              </w:rPr>
              <w:t>教学要求</w:t>
            </w:r>
          </w:p>
        </w:tc>
      </w:tr>
      <w:tr w14:paraId="2D20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8FB294F">
            <w:pPr>
              <w:keepLines/>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b/>
                <w:bCs/>
                <w:sz w:val="18"/>
                <w:szCs w:val="18"/>
              </w:rPr>
              <w:t>思想道德与法治</w:t>
            </w:r>
          </w:p>
        </w:tc>
        <w:tc>
          <w:tcPr>
            <w:tcW w:w="2778" w:type="dxa"/>
          </w:tcPr>
          <w:p w14:paraId="7ED15B18">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（1）引导大学生树立科学的理想信念，弘扬中国精神，培育正确的人生观、价值观，养成良好的道德品质和法治素养，为逐渐成长为有理想、有本领、有担当的时代新人打下坚实的理论基础。</w:t>
            </w:r>
          </w:p>
          <w:p w14:paraId="2C731DB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（2）帮助学生牢固树立社会主义核心价值观，提高思想道德素质和法治素养，成为全面发展的社会主义事业接班人。</w:t>
            </w:r>
          </w:p>
          <w:p w14:paraId="38986D5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（3）增强学法、用法的自觉性，全面提高大学生的思想道德素质、行为修养和法律素养。</w:t>
            </w:r>
          </w:p>
          <w:p w14:paraId="27502D5C">
            <w:pPr>
              <w:keepLines/>
              <w:pageBreakBefore w:val="0"/>
              <w:widowControl/>
              <w:kinsoku/>
              <w:wordWrap/>
              <w:overflowPunct/>
              <w:topLinePunct w:val="0"/>
              <w:bidi w:val="0"/>
              <w:snapToGrid/>
              <w:spacing w:line="360" w:lineRule="exact"/>
              <w:textAlignment w:val="auto"/>
              <w:rPr>
                <w:rFonts w:ascii="宋体" w:hAnsi="宋体" w:cs="宋体"/>
                <w:bCs/>
                <w:sz w:val="18"/>
                <w:szCs w:val="18"/>
              </w:rPr>
            </w:pPr>
          </w:p>
        </w:tc>
        <w:tc>
          <w:tcPr>
            <w:tcW w:w="2778" w:type="dxa"/>
          </w:tcPr>
          <w:p w14:paraId="57AA00F2">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（1）中国特色社会主义进入了新时代。</w:t>
            </w:r>
          </w:p>
          <w:p w14:paraId="5AF31FF8">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（2）人生观的基本内涵以及对人生的重要作用，树立为人民服务的人生观。</w:t>
            </w:r>
          </w:p>
          <w:p w14:paraId="28CD751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（3）理想信念对大学生成才的重要意义，树立马克思主义的崇高的理想信念。</w:t>
            </w:r>
          </w:p>
          <w:p w14:paraId="1B730176">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（4）中国精神的科学内涵，实现中国梦必须弘扬中国精神。</w:t>
            </w:r>
          </w:p>
          <w:p w14:paraId="206B005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（5）社会主义核心价值观的基本内容、历史底蕴、现实基础、道义力量。</w:t>
            </w:r>
          </w:p>
          <w:p w14:paraId="6369F6CC">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（6）道德的历史演变、功能、作用和中华民族优良道德传统、革命道德。</w:t>
            </w:r>
          </w:p>
          <w:p w14:paraId="3B90813D">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（7）社会主义法治观念的主要内容、社会主义法治思维方式的基本含义和特征，我国宪法法律规定的权利和义务。</w:t>
            </w:r>
          </w:p>
        </w:tc>
        <w:tc>
          <w:tcPr>
            <w:tcW w:w="2778" w:type="dxa"/>
          </w:tcPr>
          <w:p w14:paraId="3168249A">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126BF9A8">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（2）教学条件：多媒体教室和智慧校园平台。</w:t>
            </w:r>
          </w:p>
          <w:p w14:paraId="6C9AAB25">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（3）教学方法：运用专题式教学、案例式教学、启发式教学等多种互动教学方法，将课堂教学和课内外实践相结合。</w:t>
            </w:r>
          </w:p>
          <w:p w14:paraId="2728A4F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（4）教师要求：坚持正确的政治方向，有扎实的马克思主义理论基础，在政治立场、政治方向、政治原则、政治道路上同以习近平同志为核心的党中央保持高度一致。</w:t>
            </w:r>
          </w:p>
          <w:p w14:paraId="77B29ABE">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（5）评价建议：采取平时检测（30%）+阶段考核（20%）+期末考试（50%）评定学习效果。</w:t>
            </w:r>
          </w:p>
        </w:tc>
      </w:tr>
      <w:tr w14:paraId="513E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4229B02">
            <w:pPr>
              <w:pStyle w:val="6"/>
              <w:keepNext w:val="0"/>
              <w:pageBreakBefore w:val="0"/>
              <w:kinsoku/>
              <w:wordWrap/>
              <w:overflowPunct/>
              <w:topLinePunct w:val="0"/>
              <w:bidi w:val="0"/>
              <w:snapToGrid/>
              <w:spacing w:line="360" w:lineRule="exact"/>
              <w:jc w:val="center"/>
              <w:textAlignment w:val="auto"/>
              <w:outlineLvl w:val="3"/>
              <w:rPr>
                <w:rFonts w:ascii="宋体" w:hAnsi="宋体" w:cs="宋体"/>
                <w:color w:val="auto"/>
                <w:sz w:val="18"/>
                <w:szCs w:val="18"/>
              </w:rPr>
            </w:pPr>
            <w:r>
              <w:rPr>
                <w:rFonts w:hint="eastAsia" w:ascii="宋体" w:hAnsi="宋体" w:cs="宋体"/>
                <w:color w:val="auto"/>
                <w:sz w:val="18"/>
                <w:szCs w:val="18"/>
              </w:rPr>
              <w:t>毛泽东思想和中国特色社会主义理论体系概论</w:t>
            </w:r>
          </w:p>
        </w:tc>
        <w:tc>
          <w:tcPr>
            <w:tcW w:w="2778" w:type="dxa"/>
          </w:tcPr>
          <w:p w14:paraId="4A48F233">
            <w:pPr>
              <w:pStyle w:val="6"/>
              <w:keepNext w:val="0"/>
              <w:pageBreakBefore w:val="0"/>
              <w:kinsoku/>
              <w:wordWrap/>
              <w:overflowPunct/>
              <w:topLinePunct w:val="0"/>
              <w:bidi w:val="0"/>
              <w:snapToGrid/>
              <w:spacing w:line="360" w:lineRule="exact"/>
              <w:ind w:firstLine="55"/>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（1）充分认识马克思主义基本原理必须同中国具体实际相结合才能发挥它的指导作用。</w:t>
            </w:r>
          </w:p>
          <w:p w14:paraId="0FFB0451">
            <w:pPr>
              <w:pStyle w:val="6"/>
              <w:keepNext w:val="0"/>
              <w:pageBreakBefore w:val="0"/>
              <w:kinsoku/>
              <w:wordWrap/>
              <w:overflowPunct/>
              <w:topLinePunct w:val="0"/>
              <w:bidi w:val="0"/>
              <w:snapToGrid/>
              <w:spacing w:line="360" w:lineRule="exact"/>
              <w:ind w:firstLine="55"/>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（2）深刻理解马克思主义中国化的科学内涵和历史进程。</w:t>
            </w:r>
          </w:p>
          <w:p w14:paraId="78E943A8">
            <w:pPr>
              <w:pStyle w:val="6"/>
              <w:keepNext w:val="0"/>
              <w:pageBreakBefore w:val="0"/>
              <w:kinsoku/>
              <w:wordWrap/>
              <w:overflowPunct/>
              <w:topLinePunct w:val="0"/>
              <w:bidi w:val="0"/>
              <w:snapToGrid/>
              <w:spacing w:line="360" w:lineRule="exact"/>
              <w:ind w:firstLine="55"/>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（3）正确把握马克思主义中国化理论成果的形成与发展、主要内容、历史地位及内在关系。</w:t>
            </w:r>
          </w:p>
          <w:p w14:paraId="5A01CAC8">
            <w:pPr>
              <w:pStyle w:val="6"/>
              <w:keepNext w:val="0"/>
              <w:pageBreakBefore w:val="0"/>
              <w:kinsoku/>
              <w:wordWrap/>
              <w:overflowPunct/>
              <w:topLinePunct w:val="0"/>
              <w:bidi w:val="0"/>
              <w:snapToGrid/>
              <w:spacing w:line="360" w:lineRule="exact"/>
              <w:ind w:firstLine="55"/>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（4）引导学生运用马克思主义中国化的理论成果指导自己的学习与工作。</w:t>
            </w:r>
          </w:p>
          <w:p w14:paraId="609D2576">
            <w:pPr>
              <w:keepLines/>
              <w:pageBreakBefore w:val="0"/>
              <w:kinsoku/>
              <w:wordWrap/>
              <w:overflowPunct/>
              <w:topLinePunct w:val="0"/>
              <w:bidi w:val="0"/>
              <w:snapToGrid/>
              <w:spacing w:line="360" w:lineRule="exact"/>
              <w:ind w:firstLine="360" w:firstLineChars="200"/>
              <w:textAlignment w:val="auto"/>
              <w:rPr>
                <w:rFonts w:ascii="宋体" w:hAnsi="宋体" w:cs="宋体"/>
                <w:bCs/>
                <w:sz w:val="18"/>
                <w:szCs w:val="18"/>
              </w:rPr>
            </w:pPr>
          </w:p>
        </w:tc>
        <w:tc>
          <w:tcPr>
            <w:tcW w:w="2778" w:type="dxa"/>
          </w:tcPr>
          <w:p w14:paraId="5731F736">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（1）以马克思主义中国化时代化为主线，论述马克思主义中国化时代化的提出及其历史进程。</w:t>
            </w:r>
          </w:p>
          <w:p w14:paraId="5BCFA269">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（2）以中国化时代化的马克思主义为重点，论述中国化时代化的马克思主义理论成果之间既一脉相承又与时俱进的关系。</w:t>
            </w:r>
          </w:p>
          <w:p w14:paraId="3F39E2F1">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（3）以中华民族伟大复兴为主题，论述中国共产党在不同时期的主要任务和面临的重大时代课题。</w:t>
            </w:r>
          </w:p>
          <w:p w14:paraId="4FECF426">
            <w:pPr>
              <w:keepLines/>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（4）以中国百年巨变为根据，全面展示中国化时代化马克思主义的实践逻辑。</w:t>
            </w:r>
          </w:p>
          <w:p w14:paraId="144F9714">
            <w:pPr>
              <w:keepLines/>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（5）以坚持和发展中国特色社会主义为方向，全面展示中国特色社会主义的历史逻辑。</w:t>
            </w:r>
          </w:p>
        </w:tc>
        <w:tc>
          <w:tcPr>
            <w:tcW w:w="2778" w:type="dxa"/>
          </w:tcPr>
          <w:p w14:paraId="522E0AD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7AA3674C">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（2）教学条件：多媒体教室和智慧校园平台。</w:t>
            </w:r>
          </w:p>
          <w:p w14:paraId="5A07768E">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（3）教学方法：运用专题式教学、案例式教学、启发式教学、微电影创作、主题演讲、模拟法庭等多种互动教学方法，将课堂教学和课内外实践相结合。</w:t>
            </w:r>
          </w:p>
          <w:p w14:paraId="7AD58441">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（4）教师要求：具有良好的思想品德、职业道德、责任意识和敬业精神。</w:t>
            </w:r>
          </w:p>
          <w:p w14:paraId="5A58F316">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（5）评价建议：采取平时检测（30%）+实践考核（20%）+期末考试（50%）评定学习效果。</w:t>
            </w:r>
          </w:p>
        </w:tc>
      </w:tr>
      <w:tr w14:paraId="22EB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9E53DA3">
            <w:pPr>
              <w:pStyle w:val="6"/>
              <w:keepNext w:val="0"/>
              <w:pageBreakBefore w:val="0"/>
              <w:kinsoku/>
              <w:wordWrap/>
              <w:overflowPunct/>
              <w:topLinePunct w:val="0"/>
              <w:bidi w:val="0"/>
              <w:snapToGrid/>
              <w:spacing w:line="360" w:lineRule="exact"/>
              <w:jc w:val="center"/>
              <w:textAlignment w:val="auto"/>
              <w:outlineLvl w:val="3"/>
              <w:rPr>
                <w:rFonts w:ascii="宋体" w:hAnsi="宋体" w:cs="宋体"/>
                <w:color w:val="auto"/>
                <w:sz w:val="18"/>
                <w:szCs w:val="18"/>
              </w:rPr>
            </w:pPr>
            <w:r>
              <w:rPr>
                <w:rFonts w:hint="eastAsia" w:ascii="宋体" w:hAnsi="宋体" w:cs="宋体"/>
                <w:color w:val="auto"/>
                <w:sz w:val="18"/>
                <w:szCs w:val="18"/>
              </w:rPr>
              <w:t>习近平新时代中国特色社会主义思想概论</w:t>
            </w:r>
          </w:p>
          <w:p w14:paraId="2AA60EEF">
            <w:pPr>
              <w:pStyle w:val="6"/>
              <w:keepNext w:val="0"/>
              <w:pageBreakBefore w:val="0"/>
              <w:kinsoku/>
              <w:wordWrap/>
              <w:overflowPunct/>
              <w:topLinePunct w:val="0"/>
              <w:bidi w:val="0"/>
              <w:snapToGrid/>
              <w:spacing w:line="360" w:lineRule="exact"/>
              <w:jc w:val="center"/>
              <w:textAlignment w:val="auto"/>
              <w:outlineLvl w:val="3"/>
              <w:rPr>
                <w:rFonts w:ascii="宋体" w:hAnsi="宋体" w:cs="宋体"/>
                <w:b w:val="0"/>
                <w:bCs/>
                <w:color w:val="auto"/>
                <w:sz w:val="18"/>
                <w:szCs w:val="18"/>
              </w:rPr>
            </w:pPr>
          </w:p>
        </w:tc>
        <w:tc>
          <w:tcPr>
            <w:tcW w:w="2778" w:type="dxa"/>
          </w:tcPr>
          <w:p w14:paraId="433664D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（1）引导大学生准确理解，深刻把握习近平新时代中国特色社会主义思想的时代背景、核心要义、精神实质、丰富内涵、实践要求。</w:t>
            </w:r>
          </w:p>
          <w:p w14:paraId="25835E24">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（2）引导大学生深刻领会习近平新时代中国特色社会主义思想的时代意义、理论意义、实践意义、世界意义。</w:t>
            </w:r>
          </w:p>
          <w:p w14:paraId="55C0EAE9">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（3）引导大学生全面了解习近平新时代中国特色社会主义思想中蕴含的人民至上、自信自立、守正创新、问题导向、系统观念、胸怀天下等理论品格和鲜明特征。</w:t>
            </w:r>
          </w:p>
          <w:p w14:paraId="77FABF09">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（4）引导大学生深刻把握习近平新时代中国特色社会主义思想中贯穿的马克思主义立场、观点、方法。</w:t>
            </w:r>
          </w:p>
          <w:p w14:paraId="79059BF9">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（5）帮助大学生牢固树立“四个意识”、坚定“四个自信”、深刻领会“两个确立”、自觉做到“两个维护”，自觉投身建设社会主义现代化强国、实现中华民族伟大复兴中国梦的奋斗中。</w:t>
            </w:r>
          </w:p>
        </w:tc>
        <w:tc>
          <w:tcPr>
            <w:tcW w:w="2778" w:type="dxa"/>
          </w:tcPr>
          <w:p w14:paraId="2B3B107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（1）习近平新时代中国特色社会主义思想的科学体系及其历史地位。</w:t>
            </w:r>
          </w:p>
          <w:p w14:paraId="07BAFE64">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（2）以中国式现代化全面推进中华民族伟大复兴。</w:t>
            </w:r>
          </w:p>
          <w:p w14:paraId="5333C78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（3）坚持党的全面领导。</w:t>
            </w:r>
          </w:p>
          <w:p w14:paraId="1B9D276D">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（4）坚持以人民为中心。</w:t>
            </w:r>
          </w:p>
          <w:p w14:paraId="11CEF76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（5）全面深化改革</w:t>
            </w:r>
          </w:p>
          <w:p w14:paraId="14A42530">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（4）“五位一体”总体布局、“四个全面”战略布局。</w:t>
            </w:r>
          </w:p>
          <w:p w14:paraId="4375D93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（5）全面依法治国。</w:t>
            </w:r>
          </w:p>
          <w:p w14:paraId="0F5E1779">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（6）维护和塑造国家安全。</w:t>
            </w:r>
          </w:p>
          <w:p w14:paraId="6186513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（6）建设巩固国防和强大人民军队。</w:t>
            </w:r>
          </w:p>
          <w:p w14:paraId="75209DAC">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（7）坚持“一国两制”和推进祖国完全统一。</w:t>
            </w:r>
          </w:p>
          <w:p w14:paraId="3F1C2056">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（8）中国特色大国外交和推动构建人类命运共同体。</w:t>
            </w:r>
          </w:p>
          <w:p w14:paraId="4C6F3453">
            <w:pPr>
              <w:keepLines/>
              <w:pageBreakBefore w:val="0"/>
              <w:widowControl/>
              <w:kinsoku/>
              <w:wordWrap/>
              <w:overflowPunct/>
              <w:topLinePunct w:val="0"/>
              <w:bidi w:val="0"/>
              <w:snapToGrid/>
              <w:spacing w:line="360" w:lineRule="exact"/>
              <w:textAlignment w:val="auto"/>
              <w:rPr>
                <w:rFonts w:ascii="宋体" w:hAnsi="宋体" w:cs="宋体"/>
                <w:bCs/>
                <w:sz w:val="18"/>
                <w:szCs w:val="18"/>
              </w:rPr>
            </w:pPr>
          </w:p>
        </w:tc>
        <w:tc>
          <w:tcPr>
            <w:tcW w:w="2778" w:type="dxa"/>
          </w:tcPr>
          <w:p w14:paraId="6EC2E49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5009D7A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（2）教学条件：多媒体教室和智慧校园平台。</w:t>
            </w:r>
          </w:p>
          <w:p w14:paraId="11A755D6">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（3）教学方法：运用专题式教学、案例式教学等多种互动教学方法，将课堂教学和课内外实践相结合。</w:t>
            </w:r>
          </w:p>
          <w:p w14:paraId="675B1D04">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（4）教师要求：关注党的最新理论成果、中央重大会议、时政热点等及时把最新的中央精神融入教学内容。</w:t>
            </w:r>
          </w:p>
          <w:p w14:paraId="018F2344">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（5）评价建议：采取平时检测（30%）+实践考核（20%）+期末考试（50%）评定学习效果。</w:t>
            </w:r>
          </w:p>
        </w:tc>
      </w:tr>
      <w:tr w14:paraId="3C98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1E45A17">
            <w:pPr>
              <w:pStyle w:val="6"/>
              <w:keepNext w:val="0"/>
              <w:pageBreakBefore w:val="0"/>
              <w:kinsoku/>
              <w:wordWrap/>
              <w:overflowPunct/>
              <w:topLinePunct w:val="0"/>
              <w:bidi w:val="0"/>
              <w:snapToGrid/>
              <w:spacing w:line="360" w:lineRule="exact"/>
              <w:jc w:val="center"/>
              <w:textAlignment w:val="auto"/>
              <w:outlineLvl w:val="3"/>
              <w:rPr>
                <w:rFonts w:ascii="宋体" w:hAnsi="宋体" w:cs="宋体"/>
                <w:color w:val="auto"/>
                <w:sz w:val="18"/>
                <w:szCs w:val="18"/>
              </w:rPr>
            </w:pPr>
            <w:r>
              <w:rPr>
                <w:rFonts w:hint="eastAsia" w:ascii="宋体" w:hAnsi="宋体" w:cs="宋体"/>
                <w:color w:val="auto"/>
                <w:sz w:val="18"/>
                <w:szCs w:val="18"/>
              </w:rPr>
              <w:t>形势与政策</w:t>
            </w:r>
          </w:p>
          <w:p w14:paraId="619EE6BA">
            <w:pPr>
              <w:pStyle w:val="6"/>
              <w:keepNext w:val="0"/>
              <w:pageBreakBefore w:val="0"/>
              <w:kinsoku/>
              <w:wordWrap/>
              <w:overflowPunct/>
              <w:topLinePunct w:val="0"/>
              <w:bidi w:val="0"/>
              <w:snapToGrid/>
              <w:spacing w:line="360" w:lineRule="exact"/>
              <w:jc w:val="center"/>
              <w:textAlignment w:val="auto"/>
              <w:outlineLvl w:val="3"/>
              <w:rPr>
                <w:rFonts w:ascii="宋体" w:hAnsi="宋体" w:cs="宋体"/>
                <w:color w:val="auto"/>
                <w:sz w:val="18"/>
                <w:szCs w:val="18"/>
              </w:rPr>
            </w:pPr>
          </w:p>
        </w:tc>
        <w:tc>
          <w:tcPr>
            <w:tcW w:w="2778" w:type="dxa"/>
          </w:tcPr>
          <w:p w14:paraId="7C951E60">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1）引导和帮助学生掌握认识形势与政策问题的基本理论和基础知识，学会正确的形势与政策分析方法，特别是对我国的基本国情、国内外重大事件、社会热点和难点等问题的思考、分析和判断能力，使之能科学认识和准确把握形势与政策发展的客观规律，形成正确的政治观。</w:t>
            </w:r>
          </w:p>
          <w:p w14:paraId="6C6772F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2）帮助学生深入地学习和研究马克思主义中国化时代化理论成果，培养学生理论联系实际的能力，鼓励学生积极投身社会实践，通过实践体会党的路线、方针、政策的正确性，清晰了解我国改革开放以来形成并不断发展完善的一系列政策体系，树立正确的世界观、人生观和价值观。</w:t>
            </w:r>
          </w:p>
          <w:p w14:paraId="553D6F18">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（3）帮助学生了解高等教育发展的现状和趋势，对就业形势有一个比较清醒的认识，树立正确的就业观。</w:t>
            </w:r>
          </w:p>
        </w:tc>
        <w:tc>
          <w:tcPr>
            <w:tcW w:w="2778" w:type="dxa"/>
          </w:tcPr>
          <w:p w14:paraId="03960E9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以马列主义、毛泽东思想、邓小平理论、“三个代表”重要思想、科学发展观和习近平新时代中国特色社会主义思想为指导，紧密结合国内外形势，针对学生的思想实际，开展形势与政策教育教学，提升大学生对中国特色社会主义的认识和觉悟。</w:t>
            </w:r>
          </w:p>
        </w:tc>
        <w:tc>
          <w:tcPr>
            <w:tcW w:w="2778" w:type="dxa"/>
          </w:tcPr>
          <w:p w14:paraId="1551042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271AD440">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（2）教学条件：多媒体教室和智慧校园平台。</w:t>
            </w:r>
          </w:p>
          <w:p w14:paraId="3456FE0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（3）教学方法：运用专题式教学、案例式教学等多种互动教学方法，将课堂教学和课内外实践相结合。</w:t>
            </w:r>
          </w:p>
          <w:p w14:paraId="4382B74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（4）教师要求：关注党的最新理论成果、中央重大会议、时政热点等信息，及时把最新的中央精神融入教学内容。</w:t>
            </w:r>
          </w:p>
          <w:p w14:paraId="1FC7C695">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（5）评价建议：采取平时检测（30%）+期末考查（70%）评定学习效果。</w:t>
            </w:r>
          </w:p>
        </w:tc>
      </w:tr>
      <w:tr w14:paraId="64FC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9447172">
            <w:pPr>
              <w:keepLines/>
              <w:pageBreakBefore w:val="0"/>
              <w:shd w:val="clear" w:color="auto" w:fill="FFFFFF"/>
              <w:kinsoku/>
              <w:wordWrap/>
              <w:overflowPunct/>
              <w:topLinePunct w:val="0"/>
              <w:bidi w:val="0"/>
              <w:snapToGrid/>
              <w:spacing w:line="360" w:lineRule="exact"/>
              <w:jc w:val="center"/>
              <w:textAlignment w:val="auto"/>
              <w:rPr>
                <w:rFonts w:ascii="宋体" w:hAnsi="宋体" w:cs="宋体"/>
                <w:b/>
                <w:sz w:val="18"/>
                <w:szCs w:val="18"/>
              </w:rPr>
            </w:pPr>
            <w:r>
              <w:rPr>
                <w:rFonts w:hint="eastAsia" w:ascii="宋体" w:hAnsi="宋体" w:cs="宋体"/>
                <w:b/>
                <w:sz w:val="18"/>
                <w:szCs w:val="18"/>
              </w:rPr>
              <w:t>大学体育</w:t>
            </w:r>
          </w:p>
          <w:p w14:paraId="14B14ECF">
            <w:pPr>
              <w:keepLines/>
              <w:pageBreakBefore w:val="0"/>
              <w:shd w:val="clear" w:color="auto" w:fill="FFFFFF"/>
              <w:kinsoku/>
              <w:wordWrap/>
              <w:overflowPunct/>
              <w:topLinePunct w:val="0"/>
              <w:bidi w:val="0"/>
              <w:snapToGrid/>
              <w:spacing w:line="360" w:lineRule="exact"/>
              <w:jc w:val="center"/>
              <w:textAlignment w:val="auto"/>
              <w:rPr>
                <w:rFonts w:ascii="宋体" w:hAnsi="宋体" w:cs="宋体"/>
                <w:bCs/>
                <w:sz w:val="18"/>
                <w:szCs w:val="18"/>
              </w:rPr>
            </w:pPr>
          </w:p>
        </w:tc>
        <w:tc>
          <w:tcPr>
            <w:tcW w:w="2778" w:type="dxa"/>
          </w:tcPr>
          <w:p w14:paraId="568FF428">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1）落实立德树人的根本任务，以体育人，增强学生体质。通过学习本课程，学生能够喜爱并积极参与体育运动，享受体育运动的乐趣；学会锻炼身体的科学方法，提升体育运动能力，帮助学生在体育锻炼中享受乐趣、增强体质、健全人格、锤炼意志，使学生在运动能力、健康行为和体育精神三方面获得全面发展。</w:t>
            </w:r>
          </w:p>
          <w:p w14:paraId="64C9C322">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 xml:space="preserve">（2）熟练掌握1-2项健身运动的基本方法和技能，能科学地进行体育锻炼，提高自己的运动能力，掌握常见运动创伤的处置方法。 </w:t>
            </w:r>
          </w:p>
          <w:p w14:paraId="623E3E9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 xml:space="preserve">（3）能测试和评价体质健康状况，掌握有效提高身体素质、全面发展体能的知识与方法；提高职业体能水平，树立健康观念，掌握健康知识和与职业相关的健康安全知识，形成健康文明的生活方式。 </w:t>
            </w:r>
          </w:p>
          <w:p w14:paraId="0DCA827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（4）通过体育锻炼改善情绪状态；促进学生人格发展；培养坚强的意志品质；缓解生理和心理疲劳；培养良好的人际交往能力和合作意识，体验运动乐趣，培养快乐体育、健康体育、终生体育观念。</w:t>
            </w:r>
          </w:p>
          <w:p w14:paraId="3EB3F8E9">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 xml:space="preserve">（5）遵守体育道德规范和行为准则，发扬体育精神，塑造良好的体育品格，增强责任意识、规则意识和团队意识，正确处理竞争与合作的关系。 </w:t>
            </w:r>
          </w:p>
        </w:tc>
        <w:tc>
          <w:tcPr>
            <w:tcW w:w="2778" w:type="dxa"/>
          </w:tcPr>
          <w:p w14:paraId="7CC7AB86">
            <w:pPr>
              <w:pStyle w:val="7"/>
              <w:keepLines/>
              <w:pageBreakBefore w:val="0"/>
              <w:kinsoku/>
              <w:wordWrap/>
              <w:overflowPunct/>
              <w:topLinePunct w:val="0"/>
              <w:bidi w:val="0"/>
              <w:snapToGrid/>
              <w:spacing w:line="360" w:lineRule="exact"/>
              <w:jc w:val="both"/>
              <w:textAlignment w:val="auto"/>
              <w:rPr>
                <w:rFonts w:ascii="宋体" w:hAnsi="宋体" w:cs="宋体"/>
                <w:bCs/>
                <w:sz w:val="18"/>
                <w:szCs w:val="18"/>
              </w:rPr>
            </w:pPr>
            <w:r>
              <w:rPr>
                <w:rFonts w:hint="eastAsia" w:ascii="宋体" w:hAnsi="宋体" w:cs="宋体"/>
                <w:bCs/>
                <w:sz w:val="18"/>
                <w:szCs w:val="18"/>
              </w:rPr>
              <w:t>（1）田径及身体素质练习：力量、速度、耐力、弹跳、协调、灵敏、柔韧等。</w:t>
            </w:r>
          </w:p>
          <w:p w14:paraId="75EF6276">
            <w:pPr>
              <w:pStyle w:val="7"/>
              <w:keepLines/>
              <w:pageBreakBefore w:val="0"/>
              <w:kinsoku/>
              <w:wordWrap/>
              <w:overflowPunct/>
              <w:topLinePunct w:val="0"/>
              <w:bidi w:val="0"/>
              <w:snapToGrid/>
              <w:spacing w:line="360" w:lineRule="exact"/>
              <w:jc w:val="both"/>
              <w:textAlignment w:val="auto"/>
              <w:rPr>
                <w:rFonts w:ascii="宋体" w:hAnsi="宋体" w:cs="宋体"/>
                <w:bCs/>
                <w:sz w:val="18"/>
                <w:szCs w:val="18"/>
              </w:rPr>
            </w:pPr>
            <w:r>
              <w:rPr>
                <w:rFonts w:hint="eastAsia" w:ascii="宋体" w:hAnsi="宋体" w:cs="宋体"/>
                <w:bCs/>
                <w:sz w:val="18"/>
                <w:szCs w:val="18"/>
              </w:rPr>
              <w:t>（2）专项运动技能：田径、健美操、篮球、足球、排球、乒乓球、羽毛球、网球、跆拳道、武术、体育舞蹈等。</w:t>
            </w:r>
          </w:p>
          <w:p w14:paraId="019E130A">
            <w:pPr>
              <w:pStyle w:val="7"/>
              <w:keepLines/>
              <w:pageBreakBefore w:val="0"/>
              <w:kinsoku/>
              <w:wordWrap/>
              <w:overflowPunct/>
              <w:topLinePunct w:val="0"/>
              <w:bidi w:val="0"/>
              <w:snapToGrid/>
              <w:spacing w:line="360" w:lineRule="exact"/>
              <w:jc w:val="both"/>
              <w:textAlignment w:val="auto"/>
              <w:rPr>
                <w:rFonts w:ascii="宋体" w:hAnsi="宋体" w:cs="宋体"/>
                <w:bCs/>
                <w:sz w:val="18"/>
                <w:szCs w:val="18"/>
              </w:rPr>
            </w:pPr>
            <w:r>
              <w:rPr>
                <w:rFonts w:hint="eastAsia" w:ascii="宋体" w:hAnsi="宋体" w:cs="宋体"/>
                <w:bCs/>
                <w:sz w:val="18"/>
                <w:szCs w:val="18"/>
              </w:rPr>
              <w:t>（3）体质测试训练：跳远、坐位体前屈、仰卧起坐、引体向上、50米跑、肺活量、800/1000米跑等。</w:t>
            </w:r>
          </w:p>
          <w:p w14:paraId="4CE7CCDA">
            <w:pPr>
              <w:pStyle w:val="7"/>
              <w:keepLines/>
              <w:pageBreakBefore w:val="0"/>
              <w:kinsoku/>
              <w:wordWrap/>
              <w:overflowPunct/>
              <w:topLinePunct w:val="0"/>
              <w:bidi w:val="0"/>
              <w:snapToGrid/>
              <w:spacing w:line="360" w:lineRule="exact"/>
              <w:jc w:val="both"/>
              <w:textAlignment w:val="auto"/>
              <w:rPr>
                <w:rFonts w:ascii="宋体" w:hAnsi="宋体" w:cs="宋体"/>
                <w:bCs/>
                <w:sz w:val="18"/>
                <w:szCs w:val="18"/>
              </w:rPr>
            </w:pPr>
            <w:r>
              <w:rPr>
                <w:rFonts w:hint="eastAsia" w:ascii="宋体" w:hAnsi="宋体" w:cs="宋体"/>
                <w:bCs/>
                <w:sz w:val="18"/>
                <w:szCs w:val="18"/>
              </w:rPr>
              <w:t>（4）拓展模块：运动减脂、快意网球、体育与欣赏以及武术与健康、健身气功、太极拳等优秀传统文化项目。</w:t>
            </w:r>
          </w:p>
          <w:p w14:paraId="7C7C1FBE">
            <w:pPr>
              <w:pStyle w:val="7"/>
              <w:keepLines/>
              <w:pageBreakBefore w:val="0"/>
              <w:kinsoku/>
              <w:wordWrap/>
              <w:overflowPunct/>
              <w:topLinePunct w:val="0"/>
              <w:bidi w:val="0"/>
              <w:snapToGrid/>
              <w:spacing w:line="360" w:lineRule="exact"/>
              <w:jc w:val="both"/>
              <w:textAlignment w:val="auto"/>
              <w:rPr>
                <w:rFonts w:ascii="宋体" w:hAnsi="宋体" w:cs="宋体"/>
                <w:bCs/>
                <w:sz w:val="18"/>
                <w:szCs w:val="18"/>
              </w:rPr>
            </w:pPr>
            <w:r>
              <w:rPr>
                <w:rFonts w:hint="eastAsia" w:ascii="宋体" w:hAnsi="宋体" w:cs="宋体"/>
                <w:bCs/>
                <w:sz w:val="18"/>
                <w:szCs w:val="18"/>
              </w:rPr>
              <w:t>（5）健康教育：体育保健、健康饮食、心理健康教育等。</w:t>
            </w:r>
          </w:p>
          <w:p w14:paraId="1D35EB21">
            <w:pPr>
              <w:pStyle w:val="7"/>
              <w:keepLines/>
              <w:pageBreakBefore w:val="0"/>
              <w:kinsoku/>
              <w:wordWrap/>
              <w:overflowPunct/>
              <w:topLinePunct w:val="0"/>
              <w:bidi w:val="0"/>
              <w:snapToGrid/>
              <w:spacing w:line="360" w:lineRule="exact"/>
              <w:jc w:val="both"/>
              <w:textAlignment w:val="auto"/>
              <w:rPr>
                <w:rFonts w:ascii="宋体" w:hAnsi="宋体" w:cs="宋体"/>
                <w:bCs/>
                <w:sz w:val="18"/>
                <w:szCs w:val="18"/>
              </w:rPr>
            </w:pPr>
          </w:p>
          <w:p w14:paraId="3B951709">
            <w:pPr>
              <w:pStyle w:val="7"/>
              <w:keepLines/>
              <w:pageBreakBefore w:val="0"/>
              <w:kinsoku/>
              <w:wordWrap/>
              <w:overflowPunct/>
              <w:topLinePunct w:val="0"/>
              <w:bidi w:val="0"/>
              <w:snapToGrid/>
              <w:spacing w:line="360" w:lineRule="exact"/>
              <w:jc w:val="both"/>
              <w:textAlignment w:val="auto"/>
              <w:rPr>
                <w:rFonts w:ascii="宋体" w:hAnsi="宋体" w:cs="宋体"/>
                <w:bCs/>
                <w:sz w:val="18"/>
                <w:szCs w:val="18"/>
              </w:rPr>
            </w:pPr>
          </w:p>
        </w:tc>
        <w:tc>
          <w:tcPr>
            <w:tcW w:w="2778" w:type="dxa"/>
          </w:tcPr>
          <w:p w14:paraId="459D4DB8">
            <w:pPr>
              <w:pStyle w:val="6"/>
              <w:keepNext w:val="0"/>
              <w:pageBreakBefore w:val="0"/>
              <w:kinsoku/>
              <w:wordWrap/>
              <w:overflowPunct/>
              <w:topLinePunct w:val="0"/>
              <w:bidi w:val="0"/>
              <w:snapToGrid/>
              <w:spacing w:line="360" w:lineRule="exact"/>
              <w:textAlignment w:val="auto"/>
              <w:outlineLvl w:val="3"/>
              <w:rPr>
                <w:rFonts w:ascii="宋体" w:hAnsi="宋体" w:cs="宋体"/>
                <w:b w:val="0"/>
                <w:color w:val="auto"/>
                <w:sz w:val="18"/>
                <w:szCs w:val="18"/>
              </w:rPr>
            </w:pPr>
            <w:r>
              <w:rPr>
                <w:rFonts w:hint="eastAsia" w:ascii="宋体" w:hAnsi="宋体" w:cs="宋体"/>
                <w:b w:val="0"/>
                <w:color w:val="auto"/>
                <w:sz w:val="18"/>
                <w:szCs w:val="18"/>
              </w:rPr>
              <w:t>（1）教学模式：采用1+1+X模式，1为体育与健康必修课程，是体育与健康基础模块，以运动技能基础训练为主；1为体质测试训练课，以体质健康测试项目训练为主；X为拓展模块，为公共选修课程。</w:t>
            </w:r>
          </w:p>
          <w:p w14:paraId="3D475D79">
            <w:pPr>
              <w:pStyle w:val="6"/>
              <w:keepNext w:val="0"/>
              <w:pageBreakBefore w:val="0"/>
              <w:kinsoku/>
              <w:wordWrap/>
              <w:overflowPunct/>
              <w:topLinePunct w:val="0"/>
              <w:bidi w:val="0"/>
              <w:snapToGrid/>
              <w:spacing w:line="360" w:lineRule="exact"/>
              <w:textAlignment w:val="auto"/>
              <w:outlineLvl w:val="3"/>
              <w:rPr>
                <w:rFonts w:ascii="宋体" w:hAnsi="宋体" w:cs="宋体"/>
                <w:b w:val="0"/>
                <w:color w:val="auto"/>
                <w:sz w:val="18"/>
                <w:szCs w:val="18"/>
              </w:rPr>
            </w:pPr>
            <w:r>
              <w:rPr>
                <w:rFonts w:hint="eastAsia" w:ascii="宋体" w:hAnsi="宋体" w:cs="宋体"/>
                <w:b w:val="0"/>
                <w:bCs/>
                <w:color w:val="auto"/>
                <w:sz w:val="18"/>
                <w:szCs w:val="18"/>
              </w:rPr>
              <w:t>（2）</w:t>
            </w:r>
            <w:r>
              <w:rPr>
                <w:rFonts w:hint="eastAsia" w:ascii="宋体" w:hAnsi="宋体" w:cs="宋体"/>
                <w:b w:val="0"/>
                <w:color w:val="auto"/>
                <w:sz w:val="18"/>
                <w:szCs w:val="18"/>
              </w:rPr>
              <w:t>教学方法：运用目标教学法、游戏教学法及竞赛教学法，以“教会、勤练、常赛”为主导，提高学生的兴趣，激发学习的主动性。</w:t>
            </w:r>
          </w:p>
          <w:p w14:paraId="7BCBB2AA">
            <w:pPr>
              <w:pStyle w:val="6"/>
              <w:keepNext w:val="0"/>
              <w:pageBreakBefore w:val="0"/>
              <w:kinsoku/>
              <w:wordWrap/>
              <w:overflowPunct/>
              <w:topLinePunct w:val="0"/>
              <w:bidi w:val="0"/>
              <w:snapToGrid/>
              <w:spacing w:line="360" w:lineRule="exact"/>
              <w:textAlignment w:val="auto"/>
              <w:outlineLvl w:val="3"/>
              <w:rPr>
                <w:rFonts w:ascii="宋体" w:hAnsi="宋体" w:cs="宋体"/>
                <w:b w:val="0"/>
                <w:color w:val="auto"/>
                <w:sz w:val="18"/>
                <w:szCs w:val="18"/>
              </w:rPr>
            </w:pPr>
            <w:r>
              <w:rPr>
                <w:rFonts w:hint="eastAsia" w:ascii="宋体" w:hAnsi="宋体" w:cs="宋体"/>
                <w:b w:val="0"/>
                <w:bCs/>
                <w:color w:val="auto"/>
                <w:sz w:val="18"/>
                <w:szCs w:val="18"/>
              </w:rPr>
              <w:t>（3）</w:t>
            </w:r>
            <w:r>
              <w:rPr>
                <w:rFonts w:hint="eastAsia" w:ascii="宋体" w:hAnsi="宋体" w:cs="宋体"/>
                <w:b w:val="0"/>
                <w:color w:val="auto"/>
                <w:sz w:val="18"/>
                <w:szCs w:val="18"/>
              </w:rPr>
              <w:t>教学条件：室外网球场、排球场、田径场等体育教学设施。</w:t>
            </w:r>
          </w:p>
          <w:p w14:paraId="13D70747">
            <w:pPr>
              <w:keepLines/>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4）教师要求：任课教师要把体育与德育相结合，自身知识结构完整、系统、全面；科学、合理安排授课内容，授课思路清晰明了，善于启发，在保证学生听懂的前提下，活跃课堂气氛；在授课过程中，适当穿插课外知识，与学生走近，传达正能量信息。</w:t>
            </w:r>
          </w:p>
          <w:p w14:paraId="7A707724">
            <w:pPr>
              <w:keepLines/>
              <w:pageBreakBefore w:val="0"/>
              <w:kinsoku/>
              <w:wordWrap/>
              <w:overflowPunct/>
              <w:topLinePunct w:val="0"/>
              <w:bidi w:val="0"/>
              <w:snapToGrid/>
              <w:spacing w:line="360" w:lineRule="exact"/>
              <w:textAlignment w:val="auto"/>
              <w:rPr>
                <w:rFonts w:ascii="宋体" w:hAnsi="宋体" w:cs="宋体"/>
                <w:b/>
                <w:bCs/>
                <w:sz w:val="18"/>
                <w:szCs w:val="18"/>
              </w:rPr>
            </w:pPr>
            <w:r>
              <w:rPr>
                <w:rFonts w:hint="eastAsia" w:ascii="宋体" w:hAnsi="宋体" w:cs="宋体"/>
                <w:bCs/>
                <w:sz w:val="18"/>
                <w:szCs w:val="18"/>
              </w:rPr>
              <w:t>（5）</w:t>
            </w:r>
            <w:r>
              <w:rPr>
                <w:rFonts w:hint="eastAsia" w:ascii="宋体" w:hAnsi="宋体" w:cs="宋体"/>
                <w:kern w:val="0"/>
                <w:sz w:val="18"/>
                <w:szCs w:val="18"/>
              </w:rPr>
              <w:t>评价建议：采取平时成绩（40%）+学期末测试（身体素质+专项技能）（60%）来评定学习效果。</w:t>
            </w:r>
          </w:p>
        </w:tc>
      </w:tr>
      <w:tr w14:paraId="6C1A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9B5CC7F">
            <w:pPr>
              <w:keepLines/>
              <w:pageBreakBefore w:val="0"/>
              <w:shd w:val="clear" w:color="auto" w:fill="FFFFFF"/>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军事理论</w:t>
            </w:r>
          </w:p>
          <w:p w14:paraId="09AAC918">
            <w:pPr>
              <w:keepLines/>
              <w:pageBreakBefore w:val="0"/>
              <w:shd w:val="clear" w:color="auto" w:fill="FFFFFF"/>
              <w:kinsoku/>
              <w:wordWrap/>
              <w:overflowPunct/>
              <w:topLinePunct w:val="0"/>
              <w:bidi w:val="0"/>
              <w:snapToGrid/>
              <w:spacing w:line="360" w:lineRule="exact"/>
              <w:jc w:val="center"/>
              <w:textAlignment w:val="auto"/>
              <w:rPr>
                <w:rFonts w:ascii="宋体" w:hAnsi="宋体" w:cs="宋体"/>
                <w:sz w:val="18"/>
                <w:szCs w:val="18"/>
              </w:rPr>
            </w:pPr>
          </w:p>
        </w:tc>
        <w:tc>
          <w:tcPr>
            <w:tcW w:w="2778" w:type="dxa"/>
          </w:tcPr>
          <w:p w14:paraId="006A0B2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（1）提高学生的思想政治觉悟，激发爱国热情，增强国防观念和国家安全意识。</w:t>
            </w:r>
          </w:p>
          <w:p w14:paraId="3935BB92">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（2）进行爱国主义、集体主义和革命英雄主义教育，增强学生的组织纪律观念，培养艰苦奋斗的作风，提高学生的综合素质。</w:t>
            </w:r>
          </w:p>
          <w:p w14:paraId="1045701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（3）使学生掌握基本军事知识和技能，为中国人民解放军培养后备兵员和预备役军官、为国家培养社会主义事业的建设者和接班人打好基础。</w:t>
            </w:r>
          </w:p>
        </w:tc>
        <w:tc>
          <w:tcPr>
            <w:tcW w:w="2778" w:type="dxa"/>
          </w:tcPr>
          <w:p w14:paraId="186878B9">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1）中国国防。理解国防内涵和国防历史，树立正确的国防观；了解我国国防体制、国防战略、国防政策以及国防成就，激发学生的爱国热情；熟悉国防法规、武装力量、国防动员的主要内容，增强学生国防意识。</w:t>
            </w:r>
          </w:p>
          <w:p w14:paraId="3F5F5A02">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（2）国家安全。正确把握和认识国家安全的内涵，理解我国总体国家安全观，提升学生防谍保密意识；深刻认识当前我国面临的安全形势；了解世界主要国家军事力量及战略动向，增强学生忧患意识。</w:t>
            </w:r>
          </w:p>
          <w:p w14:paraId="17DB540E">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3）军事思想。了解军事思想的内涵和形成与发展历程，了解外国代表性军事思想，熟悉我国军事思想的主要内容、地位作用和现实意义，理解习近平强军思想的科学含义和主要内容，使学生树立科学的战争观和方法论。</w:t>
            </w:r>
          </w:p>
          <w:p w14:paraId="32C00389">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（4）现代战争。了解战争内涵、特点、发展历程，理解新军事革命的内涵和发展演变，掌握机械化战争、信息化战争的形成、主要形态、特征、代表性战例和发展趋势，使学生树立打赢信息化战争的信心。</w:t>
            </w:r>
          </w:p>
          <w:p w14:paraId="6FAF3B0A">
            <w:pPr>
              <w:keepLines/>
              <w:pageBreakBefore w:val="0"/>
              <w:widowControl/>
              <w:kinsoku/>
              <w:wordWrap/>
              <w:overflowPunct/>
              <w:topLinePunct w:val="0"/>
              <w:bidi w:val="0"/>
              <w:snapToGrid/>
              <w:spacing w:line="360" w:lineRule="exact"/>
              <w:ind w:firstLine="55"/>
              <w:textAlignment w:val="auto"/>
              <w:rPr>
                <w:rFonts w:ascii="宋体" w:hAnsi="宋体" w:cs="宋体"/>
                <w:sz w:val="18"/>
                <w:szCs w:val="18"/>
              </w:rPr>
            </w:pPr>
            <w:r>
              <w:rPr>
                <w:rFonts w:hint="eastAsia" w:ascii="宋体" w:hAnsi="宋体" w:cs="宋体"/>
                <w:sz w:val="18"/>
                <w:szCs w:val="18"/>
              </w:rPr>
              <w:t>（5）</w:t>
            </w:r>
            <w:r>
              <w:rPr>
                <w:rFonts w:hint="eastAsia" w:ascii="宋体" w:hAnsi="宋体" w:cs="宋体"/>
                <w:bCs/>
                <w:sz w:val="18"/>
                <w:szCs w:val="18"/>
              </w:rPr>
              <w:t>信息化装备。了解信息化装备的内涵、分类、发展及对现代作战的影响，熟悉世界主要国家信息化装备的发展情况，激发学生学习高科技的积极性，为国防科研奠定人才基础。</w:t>
            </w:r>
          </w:p>
        </w:tc>
        <w:tc>
          <w:tcPr>
            <w:tcW w:w="2778" w:type="dxa"/>
          </w:tcPr>
          <w:p w14:paraId="7F0063CD">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1）教学模式：教学以学生为中心，采用线上线下混合式教学模式，借助信息化手段，学生自主学习探究，教师辅助加以引导，注重课程思政设计与渗透，注重学生全面发展，在教学过程中注重引导和培养学生牢固树立国防意识，自觉履行国防义务，切实担当国防重任，把国家安全放在心中，把国防责任担在肩上，进一步强化学生的国防观念，激发建设国防的热情，增强建设现代化国防的责任感和使命感。</w:t>
            </w:r>
          </w:p>
          <w:p w14:paraId="503490EF">
            <w:pPr>
              <w:pStyle w:val="6"/>
              <w:keepNext w:val="0"/>
              <w:pageBreakBefore w:val="0"/>
              <w:kinsoku/>
              <w:wordWrap/>
              <w:overflowPunct/>
              <w:topLinePunct w:val="0"/>
              <w:bidi w:val="0"/>
              <w:snapToGrid/>
              <w:spacing w:line="360" w:lineRule="exact"/>
              <w:ind w:firstLine="55"/>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（2）教学条件：多媒体教室、智慧校园平台和智慧树教学平台。</w:t>
            </w:r>
          </w:p>
          <w:p w14:paraId="67F8C44B">
            <w:pPr>
              <w:pStyle w:val="6"/>
              <w:keepNext w:val="0"/>
              <w:pageBreakBefore w:val="0"/>
              <w:kinsoku/>
              <w:wordWrap/>
              <w:overflowPunct/>
              <w:topLinePunct w:val="0"/>
              <w:bidi w:val="0"/>
              <w:snapToGrid/>
              <w:spacing w:line="360" w:lineRule="exact"/>
              <w:ind w:firstLine="55"/>
              <w:textAlignment w:val="auto"/>
              <w:outlineLvl w:val="3"/>
              <w:rPr>
                <w:rFonts w:ascii="宋体" w:hAnsi="宋体" w:cs="宋体"/>
                <w:b w:val="0"/>
                <w:color w:val="auto"/>
                <w:sz w:val="18"/>
                <w:szCs w:val="18"/>
              </w:rPr>
            </w:pPr>
            <w:r>
              <w:rPr>
                <w:rFonts w:hint="eastAsia" w:ascii="宋体" w:hAnsi="宋体" w:cs="宋体"/>
                <w:b w:val="0"/>
                <w:bCs/>
                <w:color w:val="auto"/>
                <w:sz w:val="18"/>
                <w:szCs w:val="18"/>
              </w:rPr>
              <w:t>（3）教学方法：</w:t>
            </w:r>
            <w:r>
              <w:rPr>
                <w:rFonts w:hint="eastAsia" w:ascii="宋体" w:hAnsi="宋体" w:cs="宋体"/>
                <w:b w:val="0"/>
                <w:color w:val="auto"/>
                <w:sz w:val="18"/>
                <w:szCs w:val="18"/>
              </w:rPr>
              <w:t>互动式、典型性案例教学法；针对性、典型性战例教学法；个性化、多样化专题教学法；问题型、讨论型启发式教学法。</w:t>
            </w:r>
          </w:p>
          <w:p w14:paraId="5E064831">
            <w:pPr>
              <w:pStyle w:val="6"/>
              <w:keepNext w:val="0"/>
              <w:pageBreakBefore w:val="0"/>
              <w:kinsoku/>
              <w:wordWrap/>
              <w:overflowPunct/>
              <w:topLinePunct w:val="0"/>
              <w:bidi w:val="0"/>
              <w:snapToGrid/>
              <w:spacing w:line="360" w:lineRule="exact"/>
              <w:ind w:firstLine="55"/>
              <w:textAlignment w:val="auto"/>
              <w:outlineLvl w:val="3"/>
              <w:rPr>
                <w:rFonts w:ascii="宋体" w:hAnsi="宋体" w:cs="宋体"/>
                <w:b w:val="0"/>
                <w:color w:val="auto"/>
                <w:sz w:val="18"/>
                <w:szCs w:val="18"/>
              </w:rPr>
            </w:pPr>
            <w:r>
              <w:rPr>
                <w:rFonts w:hint="eastAsia" w:ascii="宋体" w:hAnsi="宋体" w:cs="宋体"/>
                <w:b w:val="0"/>
                <w:bCs/>
                <w:color w:val="auto"/>
                <w:sz w:val="18"/>
                <w:szCs w:val="18"/>
              </w:rPr>
              <w:t>（4）教师要求：政治立场坚定，要关注时政要闻及国家安全动态；</w:t>
            </w:r>
            <w:r>
              <w:rPr>
                <w:rFonts w:hint="eastAsia" w:ascii="宋体" w:hAnsi="宋体" w:cs="宋体"/>
                <w:b w:val="0"/>
                <w:color w:val="auto"/>
                <w:sz w:val="18"/>
                <w:szCs w:val="18"/>
              </w:rPr>
              <w:t>注重理论联系实际，融入社会、融入生活，强调学生的主体地位和教师的主导地位，重视师生互动，引导学生积极思考，形成正确的世界观、人生观、价值观。</w:t>
            </w:r>
          </w:p>
          <w:p w14:paraId="74FF4D18">
            <w:pPr>
              <w:pStyle w:val="6"/>
              <w:keepNext w:val="0"/>
              <w:pageBreakBefore w:val="0"/>
              <w:kinsoku/>
              <w:wordWrap/>
              <w:overflowPunct/>
              <w:topLinePunct w:val="0"/>
              <w:bidi w:val="0"/>
              <w:snapToGrid/>
              <w:spacing w:line="360" w:lineRule="exact"/>
              <w:textAlignment w:val="auto"/>
              <w:outlineLvl w:val="3"/>
              <w:rPr>
                <w:rFonts w:ascii="宋体" w:hAnsi="宋体" w:cs="宋体"/>
                <w:color w:val="auto"/>
                <w:sz w:val="18"/>
                <w:szCs w:val="18"/>
              </w:rPr>
            </w:pPr>
            <w:r>
              <w:rPr>
                <w:rFonts w:hint="eastAsia" w:ascii="宋体" w:hAnsi="宋体" w:cs="宋体"/>
                <w:b w:val="0"/>
                <w:bCs/>
                <w:color w:val="auto"/>
                <w:sz w:val="18"/>
                <w:szCs w:val="18"/>
              </w:rPr>
              <w:t>（5）评价建议：采取平时考核（30%）+期末综合考核（70%）来评定学习效果。</w:t>
            </w:r>
          </w:p>
        </w:tc>
      </w:tr>
      <w:tr w14:paraId="5B90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BF9477A">
            <w:pPr>
              <w:keepLines/>
              <w:pageBreakBefore w:val="0"/>
              <w:shd w:val="clear" w:color="auto" w:fill="FFFFFF"/>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劳动教育与实践</w:t>
            </w:r>
          </w:p>
          <w:p w14:paraId="2C0CC14D">
            <w:pPr>
              <w:keepLines/>
              <w:pageBreakBefore w:val="0"/>
              <w:shd w:val="clear" w:color="auto" w:fill="FFFFFF"/>
              <w:kinsoku/>
              <w:wordWrap/>
              <w:overflowPunct/>
              <w:topLinePunct w:val="0"/>
              <w:bidi w:val="0"/>
              <w:snapToGrid/>
              <w:spacing w:line="360" w:lineRule="exact"/>
              <w:jc w:val="center"/>
              <w:textAlignment w:val="auto"/>
              <w:rPr>
                <w:rFonts w:ascii="宋体" w:hAnsi="宋体" w:cs="宋体"/>
                <w:sz w:val="18"/>
                <w:szCs w:val="18"/>
              </w:rPr>
            </w:pPr>
          </w:p>
        </w:tc>
        <w:tc>
          <w:tcPr>
            <w:tcW w:w="2778" w:type="dxa"/>
          </w:tcPr>
          <w:p w14:paraId="488C5CF7">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（1）引导大学生理解和形成马克思主义劳动观，牢固树立劳动最光荣、劳动最崇高、劳动最伟大、劳动最美丽的观念。</w:t>
            </w:r>
          </w:p>
          <w:p w14:paraId="11E916D9">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（2）促使大学生形成良好的劳动习惯和积极的劳动态度，养成辛勤劳动、诚实劳动、创造性劳动的良好品格。</w:t>
            </w:r>
          </w:p>
          <w:p w14:paraId="09ED1A74">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（3）提高大学生的劳动素养，帮助学生掌握基本的劳动知识和技能，使学生具备满足生存发展所需的基本劳动能力。</w:t>
            </w:r>
          </w:p>
          <w:p w14:paraId="1C70635F">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（4）引导学生领会“幸福是奋斗出来的”内涵与意义，继承中华民族勤俭节约、敬业奉献的优良传统，弘扬开拓创新、砥砺奋进的时代精神，传承并践行劳动精神、劳模精神、工匠精神。</w:t>
            </w:r>
          </w:p>
          <w:p w14:paraId="79BDD874">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（5）通过实践活动，培养学生的团队合作能力、创新思维和创业意识，同时使学生认识到自己在社会中的角色和责任，培养学生的社会参与意识和公益意识。</w:t>
            </w:r>
          </w:p>
        </w:tc>
        <w:tc>
          <w:tcPr>
            <w:tcW w:w="2778" w:type="dxa"/>
          </w:tcPr>
          <w:p w14:paraId="3B0ABC26">
            <w:pPr>
              <w:pStyle w:val="7"/>
              <w:keepLines/>
              <w:pageBreakBefore w:val="0"/>
              <w:kinsoku/>
              <w:wordWrap/>
              <w:overflowPunct/>
              <w:topLinePunct w:val="0"/>
              <w:bidi w:val="0"/>
              <w:snapToGrid/>
              <w:spacing w:line="360" w:lineRule="exact"/>
              <w:jc w:val="both"/>
              <w:textAlignment w:val="auto"/>
              <w:rPr>
                <w:rFonts w:ascii="宋体" w:hAnsi="宋体" w:cs="宋体"/>
                <w:bCs/>
                <w:sz w:val="18"/>
                <w:szCs w:val="18"/>
              </w:rPr>
            </w:pPr>
            <w:r>
              <w:rPr>
                <w:rFonts w:hint="eastAsia" w:ascii="宋体" w:hAnsi="宋体" w:cs="宋体"/>
                <w:bCs/>
                <w:sz w:val="18"/>
                <w:szCs w:val="18"/>
              </w:rPr>
              <w:t>本课程包含理论教学和实践教学两部分。</w:t>
            </w:r>
          </w:p>
          <w:p w14:paraId="1C831139">
            <w:pPr>
              <w:pStyle w:val="7"/>
              <w:keepLines/>
              <w:pageBreakBefore w:val="0"/>
              <w:kinsoku/>
              <w:wordWrap/>
              <w:overflowPunct/>
              <w:topLinePunct w:val="0"/>
              <w:bidi w:val="0"/>
              <w:snapToGrid/>
              <w:spacing w:line="360" w:lineRule="exact"/>
              <w:ind w:hanging="425"/>
              <w:jc w:val="both"/>
              <w:textAlignment w:val="auto"/>
              <w:rPr>
                <w:rFonts w:ascii="宋体" w:hAnsi="宋体" w:cs="宋体"/>
                <w:bCs/>
                <w:sz w:val="18"/>
                <w:szCs w:val="18"/>
              </w:rPr>
            </w:pPr>
            <w:r>
              <w:rPr>
                <w:rFonts w:hint="eastAsia" w:ascii="宋体" w:hAnsi="宋体" w:cs="宋体"/>
                <w:bCs/>
                <w:sz w:val="18"/>
                <w:szCs w:val="18"/>
              </w:rPr>
              <w:t>（1）理论教学</w:t>
            </w:r>
          </w:p>
          <w:p w14:paraId="36A89B27">
            <w:pPr>
              <w:pStyle w:val="7"/>
              <w:keepLines/>
              <w:pageBreakBefore w:val="0"/>
              <w:kinsoku/>
              <w:wordWrap/>
              <w:overflowPunct/>
              <w:topLinePunct w:val="0"/>
              <w:bidi w:val="0"/>
              <w:snapToGrid/>
              <w:spacing w:line="360" w:lineRule="exact"/>
              <w:jc w:val="both"/>
              <w:textAlignment w:val="auto"/>
              <w:rPr>
                <w:rFonts w:ascii="宋体" w:hAnsi="宋体" w:cs="宋体"/>
                <w:bCs/>
                <w:sz w:val="18"/>
                <w:szCs w:val="18"/>
              </w:rPr>
            </w:pPr>
            <w:r>
              <w:rPr>
                <w:rFonts w:hint="eastAsia" w:ascii="宋体" w:hAnsi="宋体" w:cs="宋体"/>
                <w:bCs/>
                <w:sz w:val="18"/>
                <w:szCs w:val="18"/>
              </w:rPr>
              <w:t>模块一 劳动素养篇</w:t>
            </w:r>
            <w:r>
              <w:rPr>
                <w:rFonts w:hint="eastAsia" w:ascii="宋体" w:hAnsi="宋体" w:cs="宋体"/>
                <w:bCs/>
                <w:sz w:val="18"/>
                <w:szCs w:val="18"/>
              </w:rPr>
              <w:tab/>
            </w:r>
          </w:p>
          <w:p w14:paraId="0AED17D1">
            <w:pPr>
              <w:pStyle w:val="7"/>
              <w:keepLines/>
              <w:pageBreakBefore w:val="0"/>
              <w:kinsoku/>
              <w:wordWrap/>
              <w:overflowPunct/>
              <w:topLinePunct w:val="0"/>
              <w:bidi w:val="0"/>
              <w:snapToGrid/>
              <w:spacing w:line="360" w:lineRule="exact"/>
              <w:ind w:firstLine="180" w:firstLineChars="100"/>
              <w:jc w:val="both"/>
              <w:textAlignment w:val="auto"/>
              <w:rPr>
                <w:rFonts w:ascii="宋体" w:hAnsi="宋体" w:cs="宋体"/>
                <w:bCs/>
                <w:sz w:val="18"/>
                <w:szCs w:val="18"/>
              </w:rPr>
            </w:pPr>
            <w:r>
              <w:rPr>
                <w:rFonts w:hint="eastAsia" w:ascii="宋体" w:hAnsi="宋体" w:cs="宋体"/>
                <w:bCs/>
                <w:sz w:val="18"/>
                <w:szCs w:val="18"/>
              </w:rPr>
              <w:t>任务一：马克思主义劳动观</w:t>
            </w:r>
          </w:p>
          <w:p w14:paraId="61E98B88">
            <w:pPr>
              <w:pStyle w:val="7"/>
              <w:keepLines/>
              <w:pageBreakBefore w:val="0"/>
              <w:kinsoku/>
              <w:wordWrap/>
              <w:overflowPunct/>
              <w:topLinePunct w:val="0"/>
              <w:bidi w:val="0"/>
              <w:snapToGrid/>
              <w:spacing w:line="360" w:lineRule="exact"/>
              <w:ind w:firstLine="180" w:firstLineChars="100"/>
              <w:jc w:val="both"/>
              <w:textAlignment w:val="auto"/>
              <w:rPr>
                <w:rFonts w:ascii="宋体" w:hAnsi="宋体" w:cs="宋体"/>
                <w:bCs/>
                <w:sz w:val="18"/>
                <w:szCs w:val="18"/>
              </w:rPr>
            </w:pPr>
            <w:r>
              <w:rPr>
                <w:rFonts w:hint="eastAsia" w:ascii="宋体" w:hAnsi="宋体" w:cs="宋体"/>
                <w:bCs/>
                <w:sz w:val="18"/>
                <w:szCs w:val="18"/>
              </w:rPr>
              <w:t>任务二：崇尚劳动 热爱生活</w:t>
            </w:r>
          </w:p>
          <w:p w14:paraId="4E0CBF34">
            <w:pPr>
              <w:pStyle w:val="7"/>
              <w:keepLines/>
              <w:pageBreakBefore w:val="0"/>
              <w:kinsoku/>
              <w:wordWrap/>
              <w:overflowPunct/>
              <w:topLinePunct w:val="0"/>
              <w:bidi w:val="0"/>
              <w:snapToGrid/>
              <w:spacing w:line="360" w:lineRule="exact"/>
              <w:ind w:firstLine="180" w:firstLineChars="100"/>
              <w:jc w:val="both"/>
              <w:textAlignment w:val="auto"/>
              <w:rPr>
                <w:rFonts w:ascii="宋体" w:hAnsi="宋体" w:cs="宋体"/>
                <w:bCs/>
                <w:sz w:val="18"/>
                <w:szCs w:val="18"/>
              </w:rPr>
            </w:pPr>
            <w:r>
              <w:rPr>
                <w:rFonts w:hint="eastAsia" w:ascii="宋体" w:hAnsi="宋体" w:cs="宋体"/>
                <w:bCs/>
                <w:sz w:val="18"/>
                <w:szCs w:val="18"/>
              </w:rPr>
              <w:t>任务三：尊重劳动 塑造品质</w:t>
            </w:r>
          </w:p>
          <w:p w14:paraId="0D9F6553">
            <w:pPr>
              <w:pStyle w:val="7"/>
              <w:keepLines/>
              <w:pageBreakBefore w:val="0"/>
              <w:kinsoku/>
              <w:wordWrap/>
              <w:overflowPunct/>
              <w:topLinePunct w:val="0"/>
              <w:bidi w:val="0"/>
              <w:snapToGrid/>
              <w:spacing w:line="360" w:lineRule="exact"/>
              <w:jc w:val="both"/>
              <w:textAlignment w:val="auto"/>
              <w:rPr>
                <w:rFonts w:ascii="宋体" w:hAnsi="宋体" w:cs="宋体"/>
                <w:bCs/>
                <w:sz w:val="18"/>
                <w:szCs w:val="18"/>
              </w:rPr>
            </w:pPr>
            <w:r>
              <w:rPr>
                <w:rFonts w:hint="eastAsia" w:ascii="宋体" w:hAnsi="宋体" w:cs="宋体"/>
                <w:bCs/>
                <w:sz w:val="18"/>
                <w:szCs w:val="18"/>
              </w:rPr>
              <w:t>模块二 劳动技能篇</w:t>
            </w:r>
            <w:r>
              <w:rPr>
                <w:rFonts w:hint="eastAsia" w:ascii="宋体" w:hAnsi="宋体" w:cs="宋体"/>
                <w:bCs/>
                <w:sz w:val="18"/>
                <w:szCs w:val="18"/>
              </w:rPr>
              <w:tab/>
            </w:r>
          </w:p>
          <w:p w14:paraId="1CFD5913">
            <w:pPr>
              <w:pStyle w:val="7"/>
              <w:keepLines/>
              <w:pageBreakBefore w:val="0"/>
              <w:kinsoku/>
              <w:wordWrap/>
              <w:overflowPunct/>
              <w:topLinePunct w:val="0"/>
              <w:bidi w:val="0"/>
              <w:snapToGrid/>
              <w:spacing w:line="360" w:lineRule="exact"/>
              <w:ind w:firstLine="180" w:firstLineChars="100"/>
              <w:jc w:val="both"/>
              <w:textAlignment w:val="auto"/>
              <w:rPr>
                <w:rFonts w:ascii="宋体" w:hAnsi="宋体" w:cs="宋体"/>
                <w:bCs/>
                <w:sz w:val="18"/>
                <w:szCs w:val="18"/>
              </w:rPr>
            </w:pPr>
            <w:r>
              <w:rPr>
                <w:rFonts w:hint="eastAsia" w:ascii="宋体" w:hAnsi="宋体" w:cs="宋体"/>
                <w:bCs/>
                <w:sz w:val="18"/>
                <w:szCs w:val="18"/>
              </w:rPr>
              <w:t>任务四：弘扬精神 传承发展</w:t>
            </w:r>
          </w:p>
          <w:p w14:paraId="10FC24EA">
            <w:pPr>
              <w:pStyle w:val="7"/>
              <w:keepLines/>
              <w:pageBreakBefore w:val="0"/>
              <w:kinsoku/>
              <w:wordWrap/>
              <w:overflowPunct/>
              <w:topLinePunct w:val="0"/>
              <w:bidi w:val="0"/>
              <w:snapToGrid/>
              <w:spacing w:line="360" w:lineRule="exact"/>
              <w:ind w:firstLine="180" w:firstLineChars="100"/>
              <w:jc w:val="both"/>
              <w:textAlignment w:val="auto"/>
              <w:rPr>
                <w:rFonts w:ascii="宋体" w:hAnsi="宋体" w:cs="宋体"/>
                <w:bCs/>
                <w:sz w:val="18"/>
                <w:szCs w:val="18"/>
              </w:rPr>
            </w:pPr>
            <w:r>
              <w:rPr>
                <w:rFonts w:hint="eastAsia" w:ascii="宋体" w:hAnsi="宋体" w:cs="宋体"/>
                <w:bCs/>
                <w:sz w:val="18"/>
                <w:szCs w:val="18"/>
              </w:rPr>
              <w:t>任务五：职业体验 提升技能</w:t>
            </w:r>
          </w:p>
          <w:p w14:paraId="41522825">
            <w:pPr>
              <w:pStyle w:val="7"/>
              <w:keepLines/>
              <w:pageBreakBefore w:val="0"/>
              <w:kinsoku/>
              <w:wordWrap/>
              <w:overflowPunct/>
              <w:topLinePunct w:val="0"/>
              <w:bidi w:val="0"/>
              <w:snapToGrid/>
              <w:spacing w:line="360" w:lineRule="exact"/>
              <w:ind w:firstLine="180" w:firstLineChars="100"/>
              <w:jc w:val="both"/>
              <w:textAlignment w:val="auto"/>
              <w:rPr>
                <w:rFonts w:ascii="宋体" w:hAnsi="宋体" w:cs="宋体"/>
                <w:bCs/>
                <w:sz w:val="18"/>
                <w:szCs w:val="18"/>
              </w:rPr>
            </w:pPr>
            <w:r>
              <w:rPr>
                <w:rFonts w:hint="eastAsia" w:ascii="宋体" w:hAnsi="宋体" w:cs="宋体"/>
                <w:bCs/>
                <w:sz w:val="18"/>
                <w:szCs w:val="18"/>
              </w:rPr>
              <w:t>任务六：掌握技能 奉献社会</w:t>
            </w:r>
          </w:p>
          <w:p w14:paraId="0AB5FC04">
            <w:pPr>
              <w:pStyle w:val="7"/>
              <w:keepLines/>
              <w:pageBreakBefore w:val="0"/>
              <w:kinsoku/>
              <w:wordWrap/>
              <w:overflowPunct/>
              <w:topLinePunct w:val="0"/>
              <w:bidi w:val="0"/>
              <w:snapToGrid/>
              <w:spacing w:line="360" w:lineRule="exact"/>
              <w:jc w:val="both"/>
              <w:textAlignment w:val="auto"/>
              <w:rPr>
                <w:rFonts w:ascii="宋体" w:hAnsi="宋体" w:cs="宋体"/>
                <w:bCs/>
                <w:sz w:val="18"/>
                <w:szCs w:val="18"/>
              </w:rPr>
            </w:pPr>
            <w:r>
              <w:rPr>
                <w:rFonts w:hint="eastAsia" w:ascii="宋体" w:hAnsi="宋体" w:cs="宋体"/>
                <w:bCs/>
                <w:sz w:val="18"/>
                <w:szCs w:val="18"/>
              </w:rPr>
              <w:t>模块三 劳动创造篇</w:t>
            </w:r>
          </w:p>
          <w:p w14:paraId="466B7982">
            <w:pPr>
              <w:pStyle w:val="7"/>
              <w:keepLines/>
              <w:pageBreakBefore w:val="0"/>
              <w:kinsoku/>
              <w:wordWrap/>
              <w:overflowPunct/>
              <w:topLinePunct w:val="0"/>
              <w:bidi w:val="0"/>
              <w:snapToGrid/>
              <w:spacing w:line="360" w:lineRule="exact"/>
              <w:ind w:firstLine="180" w:firstLineChars="100"/>
              <w:jc w:val="both"/>
              <w:textAlignment w:val="auto"/>
              <w:rPr>
                <w:rFonts w:ascii="宋体" w:hAnsi="宋体" w:cs="宋体"/>
                <w:bCs/>
                <w:sz w:val="18"/>
                <w:szCs w:val="18"/>
              </w:rPr>
            </w:pPr>
            <w:r>
              <w:rPr>
                <w:rFonts w:hint="eastAsia" w:ascii="宋体" w:hAnsi="宋体" w:cs="宋体"/>
                <w:bCs/>
                <w:sz w:val="18"/>
                <w:szCs w:val="18"/>
              </w:rPr>
              <w:t>任务七：社会服务 提升素养</w:t>
            </w:r>
          </w:p>
          <w:p w14:paraId="3DE5CDA6">
            <w:pPr>
              <w:pStyle w:val="7"/>
              <w:keepLines/>
              <w:pageBreakBefore w:val="0"/>
              <w:kinsoku/>
              <w:wordWrap/>
              <w:overflowPunct/>
              <w:topLinePunct w:val="0"/>
              <w:bidi w:val="0"/>
              <w:snapToGrid/>
              <w:spacing w:line="360" w:lineRule="exact"/>
              <w:ind w:firstLine="180" w:firstLineChars="100"/>
              <w:jc w:val="both"/>
              <w:textAlignment w:val="auto"/>
              <w:rPr>
                <w:rFonts w:ascii="宋体" w:hAnsi="宋体" w:cs="宋体"/>
                <w:bCs/>
                <w:sz w:val="18"/>
                <w:szCs w:val="18"/>
              </w:rPr>
            </w:pPr>
            <w:r>
              <w:rPr>
                <w:rFonts w:hint="eastAsia" w:ascii="宋体" w:hAnsi="宋体" w:cs="宋体"/>
                <w:bCs/>
                <w:sz w:val="18"/>
                <w:szCs w:val="18"/>
              </w:rPr>
              <w:t>任务八：遵章守纪 维护幸福</w:t>
            </w:r>
          </w:p>
          <w:p w14:paraId="6F0F4EAF">
            <w:pPr>
              <w:pStyle w:val="7"/>
              <w:keepLines/>
              <w:pageBreakBefore w:val="0"/>
              <w:kinsoku/>
              <w:wordWrap/>
              <w:overflowPunct/>
              <w:topLinePunct w:val="0"/>
              <w:bidi w:val="0"/>
              <w:snapToGrid/>
              <w:spacing w:line="360" w:lineRule="exact"/>
              <w:ind w:hanging="425"/>
              <w:jc w:val="both"/>
              <w:textAlignment w:val="auto"/>
              <w:rPr>
                <w:rFonts w:ascii="宋体" w:hAnsi="宋体" w:cs="宋体"/>
                <w:bCs/>
                <w:sz w:val="18"/>
                <w:szCs w:val="18"/>
              </w:rPr>
            </w:pPr>
            <w:r>
              <w:rPr>
                <w:rFonts w:hint="eastAsia" w:ascii="宋体" w:hAnsi="宋体" w:cs="宋体"/>
                <w:bCs/>
                <w:sz w:val="18"/>
                <w:szCs w:val="18"/>
              </w:rPr>
              <w:t>（2）实践教学</w:t>
            </w:r>
          </w:p>
          <w:p w14:paraId="6498300A">
            <w:pPr>
              <w:pStyle w:val="7"/>
              <w:keepLines/>
              <w:pageBreakBefore w:val="0"/>
              <w:kinsoku/>
              <w:wordWrap/>
              <w:overflowPunct/>
              <w:topLinePunct w:val="0"/>
              <w:bidi w:val="0"/>
              <w:snapToGrid/>
              <w:spacing w:line="360" w:lineRule="exact"/>
              <w:jc w:val="both"/>
              <w:textAlignment w:val="auto"/>
              <w:rPr>
                <w:rFonts w:ascii="宋体" w:hAnsi="宋体" w:cs="宋体"/>
                <w:bCs/>
                <w:sz w:val="18"/>
                <w:szCs w:val="18"/>
              </w:rPr>
            </w:pPr>
            <w:r>
              <w:rPr>
                <w:rFonts w:hint="eastAsia" w:ascii="宋体" w:hAnsi="宋体" w:cs="宋体"/>
                <w:bCs/>
                <w:sz w:val="18"/>
                <w:szCs w:val="18"/>
              </w:rPr>
              <w:t>模块一 专业特色劳动实践</w:t>
            </w:r>
          </w:p>
          <w:p w14:paraId="06BD2803">
            <w:pPr>
              <w:pStyle w:val="7"/>
              <w:keepLines/>
              <w:pageBreakBefore w:val="0"/>
              <w:kinsoku/>
              <w:wordWrap/>
              <w:overflowPunct/>
              <w:topLinePunct w:val="0"/>
              <w:bidi w:val="0"/>
              <w:snapToGrid/>
              <w:spacing w:line="360" w:lineRule="exact"/>
              <w:jc w:val="both"/>
              <w:textAlignment w:val="auto"/>
              <w:rPr>
                <w:rFonts w:ascii="宋体" w:hAnsi="宋体" w:cs="宋体"/>
                <w:bCs/>
                <w:sz w:val="18"/>
                <w:szCs w:val="18"/>
              </w:rPr>
            </w:pPr>
            <w:r>
              <w:rPr>
                <w:rFonts w:hint="eastAsia" w:ascii="宋体" w:hAnsi="宋体" w:cs="宋体"/>
                <w:bCs/>
                <w:sz w:val="18"/>
                <w:szCs w:val="18"/>
              </w:rPr>
              <w:t>模块二 校园集体劳动实践</w:t>
            </w:r>
          </w:p>
          <w:p w14:paraId="68378690">
            <w:pPr>
              <w:pStyle w:val="7"/>
              <w:keepLines/>
              <w:pageBreakBefore w:val="0"/>
              <w:kinsoku/>
              <w:wordWrap/>
              <w:overflowPunct/>
              <w:topLinePunct w:val="0"/>
              <w:bidi w:val="0"/>
              <w:snapToGrid/>
              <w:spacing w:line="360" w:lineRule="exact"/>
              <w:jc w:val="both"/>
              <w:textAlignment w:val="auto"/>
              <w:rPr>
                <w:rFonts w:ascii="宋体" w:hAnsi="宋体" w:cs="宋体"/>
                <w:bCs/>
                <w:sz w:val="18"/>
                <w:szCs w:val="18"/>
              </w:rPr>
            </w:pPr>
            <w:r>
              <w:rPr>
                <w:rFonts w:hint="eastAsia" w:ascii="宋体" w:hAnsi="宋体" w:cs="宋体"/>
                <w:bCs/>
                <w:sz w:val="18"/>
                <w:szCs w:val="18"/>
              </w:rPr>
              <w:t>模块三 撰写劳动实践报告</w:t>
            </w:r>
          </w:p>
        </w:tc>
        <w:tc>
          <w:tcPr>
            <w:tcW w:w="2778" w:type="dxa"/>
          </w:tcPr>
          <w:p w14:paraId="34148C57">
            <w:pPr>
              <w:pStyle w:val="6"/>
              <w:keepNext w:val="0"/>
              <w:pageBreakBefore w:val="0"/>
              <w:kinsoku/>
              <w:wordWrap/>
              <w:overflowPunct/>
              <w:topLinePunct w:val="0"/>
              <w:bidi w:val="0"/>
              <w:snapToGrid/>
              <w:spacing w:line="360" w:lineRule="exact"/>
              <w:ind w:firstLine="55"/>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1）教学模式：理论课教学基于“以学生为中心”的教学理念，采取“导新课－学新知－品案例－思问题－拓知识”五位一体的教学模式，将授课内容与学生兴趣相结合，达到良好的教学效果；实践课教学，指导学生亲身参与实际的劳动实践活动或者完成具体的劳动项目，让学生学以致用，提升劳动素养。</w:t>
            </w:r>
          </w:p>
          <w:p w14:paraId="1FE4D3D9">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（2）教学方法：理论课采用讲解法、讨论法、实例分析法、课堂互动法等；实践课采用实践操作法、小组讨论法、导师指导法等。</w:t>
            </w:r>
          </w:p>
          <w:p w14:paraId="0B629BAB">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（3）教学条件：理论课依托多媒体教室和智慧校园平台开展教学；实践课依据课程内容为学生提供实际的劳动实践环境和设备。</w:t>
            </w:r>
          </w:p>
          <w:p w14:paraId="080FCFF9">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（4）教师要求：理论课要求教师具备相关的劳动理论知识和教学经验；实践课要求教师具备劳动实践经验，能够有效地组织和指导学生开展劳动实践活动。</w:t>
            </w:r>
          </w:p>
          <w:p w14:paraId="0F1727B7">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5）评价建议：理论课由教师根据学生的期末成绩、课堂表现、课堂互动和考勤情况综合评定，占期末总成绩的30%；实践课考核由专业特色劳动实践、校园集体劳动实践和劳动实践报告三部分构成，分别占总成绩的30%、30%、10%，最终成绩占期末总成绩的70%。</w:t>
            </w:r>
          </w:p>
        </w:tc>
      </w:tr>
      <w:tr w14:paraId="4858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C3B94F0">
            <w:pPr>
              <w:keepLines/>
              <w:pageBreakBefore w:val="0"/>
              <w:kinsoku/>
              <w:wordWrap/>
              <w:overflowPunct/>
              <w:topLinePunct w:val="0"/>
              <w:bidi w:val="0"/>
              <w:snapToGrid/>
              <w:spacing w:line="360" w:lineRule="exact"/>
              <w:ind w:firstLine="55"/>
              <w:jc w:val="center"/>
              <w:textAlignment w:val="auto"/>
              <w:rPr>
                <w:rFonts w:ascii="宋体" w:hAnsi="宋体" w:cs="宋体"/>
                <w:bCs/>
                <w:sz w:val="18"/>
                <w:szCs w:val="18"/>
              </w:rPr>
            </w:pPr>
            <w:r>
              <w:rPr>
                <w:rFonts w:hint="eastAsia" w:ascii="宋体" w:hAnsi="宋体" w:cs="宋体"/>
                <w:b/>
                <w:sz w:val="18"/>
                <w:szCs w:val="18"/>
              </w:rPr>
              <w:t>大学生心理健康教育</w:t>
            </w:r>
          </w:p>
        </w:tc>
        <w:tc>
          <w:tcPr>
            <w:tcW w:w="2778" w:type="dxa"/>
          </w:tcPr>
          <w:p w14:paraId="588009B3">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（1）通过本课程的教学，使学生了解心理学的有关理论和基本概念，明确心理健康的标准及意义，了解大学阶段人的心理发展特征及异常表现，掌握自我调适的基本知识。</w:t>
            </w:r>
          </w:p>
          <w:p w14:paraId="2EDE8219">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2）使学生掌握自我探索技能，心理调适技能及心理发展技能。如学习发展技能、环境适应技能、情绪管理技能、压力管理技能、人际沟通技能、自我管理技能、生涯规划技能、问题解决技能和团队合作技能等。</w:t>
            </w:r>
          </w:p>
          <w:p w14:paraId="18FF8AA7">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3）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0BD21266">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4）树立心理健康发展的自主意识，增强自我心理保健意识和危机预防意识；培养理性平和、乐观积极的生活态度，保持良好的心理状态，塑造健全人格，磨砺优良意志品质；正确认识自我，认识世界，适应社会，树立正确的世界观、人生观、价值观；践行社会主义核心价值观，培养新时代有为青年，为党育人，为国育才。</w:t>
            </w:r>
          </w:p>
        </w:tc>
        <w:tc>
          <w:tcPr>
            <w:tcW w:w="2778" w:type="dxa"/>
          </w:tcPr>
          <w:p w14:paraId="6A1F6DC1">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 xml:space="preserve">项目一 认识健康 </w:t>
            </w:r>
          </w:p>
          <w:p w14:paraId="12CB2892">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 xml:space="preserve">认识心理健康，认识大学生心理，了解心理咨询。 </w:t>
            </w:r>
          </w:p>
          <w:p w14:paraId="1C0AB02E">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 xml:space="preserve">项目二 健全人格 </w:t>
            </w:r>
          </w:p>
          <w:p w14:paraId="3B96DC67">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 xml:space="preserve">通过认识自我、悦纳自我、成就自我进一步完善自我、健全人格。 </w:t>
            </w:r>
          </w:p>
          <w:p w14:paraId="35A87A00">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 xml:space="preserve">项目三 适应环境 </w:t>
            </w:r>
          </w:p>
          <w:p w14:paraId="42948E0E">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熟悉新环境新体验，解读新生活新困惑，树立新起点新目标。</w:t>
            </w:r>
          </w:p>
          <w:p w14:paraId="667CAE7A">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 xml:space="preserve">项目四 管理情绪 </w:t>
            </w:r>
          </w:p>
          <w:p w14:paraId="03A68EA4">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 xml:space="preserve">透视情绪，了解大学生情绪的特点及不良情绪的原因，掌握管理情绪的方法。 </w:t>
            </w:r>
          </w:p>
          <w:p w14:paraId="7ACA1193">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 xml:space="preserve">项目五 提高逆商 </w:t>
            </w:r>
          </w:p>
          <w:p w14:paraId="53CC1230">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 xml:space="preserve">认识压力，了解压力的来源，认识大学生压力与身体疾病的关联，认识挫折及原因，学习应对压力和挫折的办法。 </w:t>
            </w:r>
          </w:p>
          <w:p w14:paraId="20EFD5FE">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 xml:space="preserve">项目六 善于学习 </w:t>
            </w:r>
          </w:p>
          <w:p w14:paraId="1292174E">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认识学习适应、学习动机、学习疲劳等常见的影响，了解大学生学习的特点，培养学习策略，进行职业生涯规划。</w:t>
            </w:r>
          </w:p>
          <w:p w14:paraId="0103DC30">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 xml:space="preserve">项目七 人际交往 </w:t>
            </w:r>
          </w:p>
          <w:p w14:paraId="1E089586">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解读交往密码，识别人际交往中的问题，掌握调适方法、人际交往的原则和技巧。</w:t>
            </w:r>
          </w:p>
          <w:p w14:paraId="497B284C">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 xml:space="preserve">项目八 为爱导航 </w:t>
            </w:r>
          </w:p>
          <w:p w14:paraId="0CEA49D9">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认识爱情及相关理论，了解大学生恋爱的问题，培养健康恋爱观，正确认识性心理的发展。</w:t>
            </w:r>
          </w:p>
          <w:p w14:paraId="0F1C0AA9">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项目九 危机干预</w:t>
            </w:r>
          </w:p>
          <w:p w14:paraId="049B9875">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认识危机，了解学校危机干预体系，学习预防危机的办法，掌握自杀危机干预的措施。</w:t>
            </w:r>
          </w:p>
        </w:tc>
        <w:tc>
          <w:tcPr>
            <w:tcW w:w="2778" w:type="dxa"/>
          </w:tcPr>
          <w:p w14:paraId="6E4AA9FA">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1）教学模式：本课程采用混合式教学模式，结合教材配套教学资源，综合学校《大学生心理健康教育》在线课、国家级精品在线课、部分高校的大学生心理健康教育中心网站、中国大学MOOC、爱课程等网络资源，实现线上线下、理论实操一体化的教学模式。</w:t>
            </w:r>
          </w:p>
          <w:p w14:paraId="421621D1">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（2）教学条件：校团体心理辅导室、沙盘治疗室、宣泄室、放松室。</w:t>
            </w:r>
          </w:p>
          <w:p w14:paraId="48D4DBFE">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（3）教学方法：运用多种教学方法，以课堂教学为主阵地，以新生入学心理健康普查数据为基础，综合使用讲授分析、案例研讨、合作学习、体验式、直观演示等多种教学方法。</w:t>
            </w:r>
          </w:p>
          <w:p w14:paraId="4888274E">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4）教师要求：教师应坚持育心与育德相结合，发挥课程的育人功能；面向全体学生，尊重个体差异；理论联系实际，注重学生实际应用能力的培养；应将现代化教育技术与课程教学有机结合，给学生提供贴近生活实际、贴近学生发展水平、贴近时代的多样化的课程资源，拓展学习和教学途径。</w:t>
            </w:r>
          </w:p>
          <w:p w14:paraId="087F7D6E">
            <w:pPr>
              <w:keepLines/>
              <w:pageBreakBefore w:val="0"/>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（5）评价建议：采取平时考核（30%）+期末综合考核（70%）来评定学习效果。</w:t>
            </w:r>
          </w:p>
        </w:tc>
      </w:tr>
      <w:tr w14:paraId="1D1C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5BEF09CE">
            <w:pPr>
              <w:keepLines/>
              <w:pageBreakBefore w:val="0"/>
              <w:shd w:val="clear" w:color="auto" w:fill="FFFFFF"/>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职业发展与就业指导</w:t>
            </w:r>
          </w:p>
          <w:p w14:paraId="15811FBE">
            <w:pPr>
              <w:keepLines/>
              <w:pageBreakBefore w:val="0"/>
              <w:shd w:val="clear" w:color="auto" w:fill="FFFFFF"/>
              <w:kinsoku/>
              <w:wordWrap/>
              <w:overflowPunct/>
              <w:topLinePunct w:val="0"/>
              <w:bidi w:val="0"/>
              <w:snapToGrid/>
              <w:spacing w:line="360" w:lineRule="exact"/>
              <w:jc w:val="center"/>
              <w:textAlignment w:val="auto"/>
              <w:rPr>
                <w:rFonts w:ascii="宋体" w:hAnsi="宋体" w:cs="宋体"/>
                <w:sz w:val="18"/>
                <w:szCs w:val="18"/>
              </w:rPr>
            </w:pPr>
          </w:p>
        </w:tc>
        <w:tc>
          <w:tcPr>
            <w:tcW w:w="2778" w:type="dxa"/>
          </w:tcPr>
          <w:p w14:paraId="091A8C17">
            <w:pPr>
              <w:pageBreakBefore w:val="0"/>
              <w:widowControl/>
              <w:kinsoku/>
              <w:wordWrap/>
              <w:overflowPunct/>
              <w:topLinePunct w:val="0"/>
              <w:bidi w:val="0"/>
              <w:snapToGrid/>
              <w:spacing w:line="360" w:lineRule="exact"/>
              <w:ind w:firstLine="5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（1）了解高职教育的特点、目标及其意义，明确职业分类与特征。</w:t>
            </w:r>
          </w:p>
          <w:p w14:paraId="2F274DF1">
            <w:pPr>
              <w:pageBreakBefore w:val="0"/>
              <w:widowControl/>
              <w:kinsoku/>
              <w:wordWrap/>
              <w:overflowPunct/>
              <w:topLinePunct w:val="0"/>
              <w:bidi w:val="0"/>
              <w:snapToGrid/>
              <w:spacing w:line="360" w:lineRule="exact"/>
              <w:ind w:firstLine="5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（2）理解职业生涯及发展的相关理论知识，熟悉职业生涯规划的要素及程序。</w:t>
            </w:r>
          </w:p>
          <w:p w14:paraId="6CD55BDB">
            <w:pPr>
              <w:pageBreakBefore w:val="0"/>
              <w:widowControl/>
              <w:kinsoku/>
              <w:wordWrap/>
              <w:overflowPunct/>
              <w:topLinePunct w:val="0"/>
              <w:bidi w:val="0"/>
              <w:snapToGrid/>
              <w:spacing w:line="360" w:lineRule="exact"/>
              <w:ind w:firstLine="5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（3）清楚就业形势与政策、法规和职业规范，了解毕业生就业权益，掌握就业方法和技巧。</w:t>
            </w:r>
          </w:p>
          <w:p w14:paraId="0F977CA0">
            <w:pPr>
              <w:pageBreakBefore w:val="0"/>
              <w:widowControl/>
              <w:kinsoku/>
              <w:wordWrap/>
              <w:overflowPunct/>
              <w:topLinePunct w:val="0"/>
              <w:bidi w:val="0"/>
              <w:snapToGrid/>
              <w:spacing w:line="360" w:lineRule="exact"/>
              <w:ind w:firstLine="5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（4）掌握基本的劳动力市场信息、相关的职业分类知识。</w:t>
            </w:r>
          </w:p>
          <w:p w14:paraId="5D2E50D1">
            <w:pPr>
              <w:pageBreakBefore w:val="0"/>
              <w:widowControl/>
              <w:kinsoku/>
              <w:wordWrap/>
              <w:overflowPunct/>
              <w:topLinePunct w:val="0"/>
              <w:bidi w:val="0"/>
              <w:snapToGrid/>
              <w:spacing w:line="360" w:lineRule="exact"/>
              <w:ind w:firstLine="5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（5）具有对自我和环境的分析评价能力。</w:t>
            </w:r>
          </w:p>
          <w:p w14:paraId="033C483B">
            <w:pPr>
              <w:pageBreakBefore w:val="0"/>
              <w:widowControl/>
              <w:kinsoku/>
              <w:wordWrap/>
              <w:overflowPunct/>
              <w:topLinePunct w:val="0"/>
              <w:bidi w:val="0"/>
              <w:snapToGrid/>
              <w:spacing w:line="360" w:lineRule="exact"/>
              <w:ind w:firstLine="5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（6）具备信息搜索与管理技能、生涯决策技能、求职技能等。</w:t>
            </w:r>
          </w:p>
          <w:p w14:paraId="133B89F2">
            <w:pPr>
              <w:pageBreakBefore w:val="0"/>
              <w:widowControl/>
              <w:kinsoku/>
              <w:wordWrap/>
              <w:overflowPunct/>
              <w:topLinePunct w:val="0"/>
              <w:bidi w:val="0"/>
              <w:snapToGrid/>
              <w:spacing w:line="360" w:lineRule="exact"/>
              <w:ind w:firstLine="5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（7）具备与他人有效沟通与合作能力。</w:t>
            </w:r>
          </w:p>
          <w:p w14:paraId="63B0E854">
            <w:pPr>
              <w:pageBreakBefore w:val="0"/>
              <w:widowControl/>
              <w:kinsoku/>
              <w:wordWrap/>
              <w:overflowPunct/>
              <w:topLinePunct w:val="0"/>
              <w:bidi w:val="0"/>
              <w:snapToGrid/>
              <w:spacing w:line="360" w:lineRule="exact"/>
              <w:ind w:firstLine="5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（8）能够搜集、分析、选择就业信息，制定职业生涯规划。</w:t>
            </w:r>
          </w:p>
          <w:p w14:paraId="45D8C37E">
            <w:pPr>
              <w:pageBreakBefore w:val="0"/>
              <w:widowControl/>
              <w:kinsoku/>
              <w:wordWrap/>
              <w:overflowPunct/>
              <w:topLinePunct w:val="0"/>
              <w:bidi w:val="0"/>
              <w:snapToGrid/>
              <w:spacing w:line="360" w:lineRule="exact"/>
              <w:ind w:firstLine="5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（9）能应用求职简历、求职信、面试技巧等方法进行自我推荐。</w:t>
            </w:r>
          </w:p>
          <w:p w14:paraId="34A1DFEC">
            <w:pPr>
              <w:pageBreakBefore w:val="0"/>
              <w:widowControl/>
              <w:kinsoku/>
              <w:wordWrap/>
              <w:overflowPunct/>
              <w:topLinePunct w:val="0"/>
              <w:bidi w:val="0"/>
              <w:snapToGrid/>
              <w:spacing w:line="360" w:lineRule="exact"/>
              <w:ind w:firstLine="5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（10）建立职业生涯发展的自主意识和爱岗敬业、吃苦耐劳、开拓创新的精神，树立积极正确职业态度和就业观念。</w:t>
            </w:r>
          </w:p>
          <w:p w14:paraId="4FB59AFE">
            <w:pPr>
              <w:pageBreakBefore w:val="0"/>
              <w:widowControl/>
              <w:kinsoku/>
              <w:wordWrap/>
              <w:overflowPunct/>
              <w:topLinePunct w:val="0"/>
              <w:bidi w:val="0"/>
              <w:snapToGrid/>
              <w:spacing w:line="360" w:lineRule="exact"/>
              <w:ind w:firstLine="5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（11）能自觉为个人生涯发展做出积极的努力，积极投身国家建设事业，为国家发展贡献力量。</w:t>
            </w:r>
          </w:p>
          <w:p w14:paraId="0FDDB3ED">
            <w:pPr>
              <w:pageBreakBefore w:val="0"/>
              <w:widowControl/>
              <w:kinsoku/>
              <w:wordWrap/>
              <w:overflowPunct/>
              <w:topLinePunct w:val="0"/>
              <w:bidi w:val="0"/>
              <w:snapToGrid/>
              <w:spacing w:line="360" w:lineRule="exact"/>
              <w:ind w:firstLine="55"/>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（12）了解国家出台的促进学生就业的政策，将自身职业发展与国家发展、时代需要结合起来。</w:t>
            </w:r>
          </w:p>
        </w:tc>
        <w:tc>
          <w:tcPr>
            <w:tcW w:w="2778" w:type="dxa"/>
          </w:tcPr>
          <w:p w14:paraId="4F2F54E5">
            <w:pPr>
              <w:pageBreakBefore w:val="0"/>
              <w:widowControl/>
              <w:kinsoku/>
              <w:wordWrap/>
              <w:overflowPunct/>
              <w:topLinePunct w:val="0"/>
              <w:bidi w:val="0"/>
              <w:snapToGrid/>
              <w:spacing w:line="360" w:lineRule="exact"/>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模块一 认识大学生就业</w:t>
            </w:r>
          </w:p>
          <w:p w14:paraId="0B793352">
            <w:pPr>
              <w:pageBreakBefore w:val="0"/>
              <w:widowControl/>
              <w:kinsoku/>
              <w:wordWrap/>
              <w:overflowPunct/>
              <w:topLinePunct w:val="0"/>
              <w:bidi w:val="0"/>
              <w:snapToGrid/>
              <w:spacing w:line="360" w:lineRule="exact"/>
              <w:ind w:firstLine="360" w:firstLineChars="200"/>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通过就业指导，熟悉就业制度与政策。</w:t>
            </w:r>
          </w:p>
          <w:p w14:paraId="695E6622">
            <w:pPr>
              <w:pageBreakBefore w:val="0"/>
              <w:widowControl/>
              <w:kinsoku/>
              <w:wordWrap/>
              <w:overflowPunct/>
              <w:topLinePunct w:val="0"/>
              <w:bidi w:val="0"/>
              <w:snapToGrid/>
              <w:spacing w:line="360" w:lineRule="exact"/>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模块二 规划职业生涯</w:t>
            </w:r>
          </w:p>
          <w:p w14:paraId="54BBFB1F">
            <w:pPr>
              <w:pageBreakBefore w:val="0"/>
              <w:widowControl/>
              <w:kinsoku/>
              <w:wordWrap/>
              <w:overflowPunct/>
              <w:topLinePunct w:val="0"/>
              <w:bidi w:val="0"/>
              <w:snapToGrid/>
              <w:spacing w:line="360" w:lineRule="exact"/>
              <w:ind w:firstLine="420"/>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掌握职业生涯发展理论，学会探索自我，能够进行职业环境评估和职业生涯决策、管理。</w:t>
            </w:r>
          </w:p>
          <w:p w14:paraId="0745D1BE">
            <w:pPr>
              <w:pageBreakBefore w:val="0"/>
              <w:widowControl/>
              <w:kinsoku/>
              <w:wordWrap/>
              <w:overflowPunct/>
              <w:topLinePunct w:val="0"/>
              <w:bidi w:val="0"/>
              <w:snapToGrid/>
              <w:spacing w:line="360" w:lineRule="exact"/>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模块三 提升就业能力</w:t>
            </w:r>
          </w:p>
          <w:p w14:paraId="4EAB1019">
            <w:pPr>
              <w:pageBreakBefore w:val="0"/>
              <w:widowControl/>
              <w:kinsoku/>
              <w:wordWrap/>
              <w:overflowPunct/>
              <w:topLinePunct w:val="0"/>
              <w:bidi w:val="0"/>
              <w:snapToGrid/>
              <w:spacing w:line="360" w:lineRule="exact"/>
              <w:ind w:firstLine="420"/>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了解大学生就业能力的内涵，培养对环境的适应能力和自主学习的能力，通过学习和活动锻炼培养表达能力、人际交往能力、信息处理能力等。</w:t>
            </w:r>
          </w:p>
          <w:p w14:paraId="03F08FD5">
            <w:pPr>
              <w:pageBreakBefore w:val="0"/>
              <w:widowControl/>
              <w:kinsoku/>
              <w:wordWrap/>
              <w:overflowPunct/>
              <w:topLinePunct w:val="0"/>
              <w:bidi w:val="0"/>
              <w:snapToGrid/>
              <w:spacing w:line="360" w:lineRule="exact"/>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模块四 准备求职面试</w:t>
            </w:r>
          </w:p>
          <w:p w14:paraId="5650C476">
            <w:pPr>
              <w:pageBreakBefore w:val="0"/>
              <w:widowControl/>
              <w:kinsoku/>
              <w:wordWrap/>
              <w:overflowPunct/>
              <w:topLinePunct w:val="0"/>
              <w:bidi w:val="0"/>
              <w:snapToGrid/>
              <w:spacing w:line="360" w:lineRule="exact"/>
              <w:ind w:firstLine="420"/>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学会对求职信息进行搜集与整理，了解求职材料的准备，了解面试技巧。</w:t>
            </w:r>
          </w:p>
          <w:p w14:paraId="304B9919">
            <w:pPr>
              <w:pageBreakBefore w:val="0"/>
              <w:widowControl/>
              <w:kinsoku/>
              <w:wordWrap/>
              <w:overflowPunct/>
              <w:topLinePunct w:val="0"/>
              <w:bidi w:val="0"/>
              <w:snapToGrid/>
              <w:spacing w:line="360" w:lineRule="exact"/>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模块五 迈好职场第一步</w:t>
            </w:r>
          </w:p>
          <w:p w14:paraId="05D5601C">
            <w:pPr>
              <w:pageBreakBefore w:val="0"/>
              <w:widowControl/>
              <w:kinsoku/>
              <w:wordWrap/>
              <w:overflowPunct/>
              <w:topLinePunct w:val="0"/>
              <w:bidi w:val="0"/>
              <w:snapToGrid/>
              <w:spacing w:line="360" w:lineRule="exact"/>
              <w:ind w:firstLine="420"/>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能够顺利转换角色、定位自我，认识和适应新的环境，了解工作中的注意事项。</w:t>
            </w:r>
          </w:p>
          <w:p w14:paraId="05F709FA">
            <w:pPr>
              <w:pageBreakBefore w:val="0"/>
              <w:widowControl/>
              <w:kinsoku/>
              <w:wordWrap/>
              <w:overflowPunct/>
              <w:topLinePunct w:val="0"/>
              <w:bidi w:val="0"/>
              <w:snapToGrid/>
              <w:spacing w:line="360" w:lineRule="exact"/>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模块六 就业权益与保障</w:t>
            </w:r>
          </w:p>
          <w:p w14:paraId="04A1EE23">
            <w:pPr>
              <w:pageBreakBefore w:val="0"/>
              <w:widowControl/>
              <w:kinsoku/>
              <w:wordWrap/>
              <w:overflowPunct/>
              <w:topLinePunct w:val="0"/>
              <w:bidi w:val="0"/>
              <w:snapToGrid/>
              <w:spacing w:line="360" w:lineRule="exact"/>
              <w:ind w:firstLine="420"/>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了解求职过程中常见的侵权行为与保护途径，明白违约责任与劳动争议。</w:t>
            </w:r>
          </w:p>
          <w:p w14:paraId="0B41E740">
            <w:pPr>
              <w:pStyle w:val="7"/>
              <w:pageBreakBefore w:val="0"/>
              <w:kinsoku/>
              <w:wordWrap/>
              <w:overflowPunct/>
              <w:topLinePunct w:val="0"/>
              <w:bidi w:val="0"/>
              <w:snapToGrid/>
              <w:spacing w:line="360" w:lineRule="exact"/>
              <w:jc w:val="both"/>
              <w:textAlignment w:val="auto"/>
              <w:rPr>
                <w:rFonts w:ascii="宋体" w:hAnsi="宋体" w:cs="宋体"/>
                <w:bCs/>
                <w:color w:val="000000" w:themeColor="text1"/>
                <w:sz w:val="18"/>
                <w:szCs w:val="18"/>
                <w14:textFill>
                  <w14:solidFill>
                    <w14:schemeClr w14:val="tx1"/>
                  </w14:solidFill>
                </w14:textFill>
              </w:rPr>
            </w:pPr>
          </w:p>
        </w:tc>
        <w:tc>
          <w:tcPr>
            <w:tcW w:w="2778" w:type="dxa"/>
          </w:tcPr>
          <w:p w14:paraId="777E7A74">
            <w:pPr>
              <w:pageBreakBefore w:val="0"/>
              <w:widowControl/>
              <w:kinsoku/>
              <w:wordWrap/>
              <w:overflowPunct/>
              <w:topLinePunct w:val="0"/>
              <w:bidi w:val="0"/>
              <w:snapToGrid/>
              <w:spacing w:line="360" w:lineRule="exact"/>
              <w:ind w:firstLine="5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模式：课程采用模块式教学方法组织教学，采取“教学做一体”的线上线下混合式教学模式，以课堂教学为主，开展形式多样教学活动，促进、提升、改进课堂教学和学生的学习效果；将职业生涯规划教育贯穿大学教育的始终，通过教育和引导帮助大学生树立正确的人生观和职业观，明确人生目标，筹划职业生涯。</w:t>
            </w:r>
          </w:p>
          <w:p w14:paraId="138FCA6D">
            <w:pPr>
              <w:pageBreakBefore w:val="0"/>
              <w:widowControl/>
              <w:kinsoku/>
              <w:wordWrap/>
              <w:overflowPunct/>
              <w:topLinePunct w:val="0"/>
              <w:bidi w:val="0"/>
              <w:snapToGrid/>
              <w:spacing w:line="360" w:lineRule="exact"/>
              <w:ind w:firstLine="5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（2）教学方法：遵循教育教学规律，坚持理论讲授与案例分析相结合、小组讨论与角色体验相结合、经验传授与求职就业实践相结合，调动学生学习职业规划的积极性、主动性，不断提高教学质量和水平。</w:t>
            </w:r>
          </w:p>
          <w:p w14:paraId="265C684F">
            <w:pPr>
              <w:pageBreakBefore w:val="0"/>
              <w:widowControl/>
              <w:kinsoku/>
              <w:wordWrap/>
              <w:overflowPunct/>
              <w:topLinePunct w:val="0"/>
              <w:bidi w:val="0"/>
              <w:snapToGrid/>
              <w:spacing w:line="360" w:lineRule="exact"/>
              <w:ind w:firstLine="5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（3）教学条件：多媒体教室和智慧校园平台。</w:t>
            </w:r>
          </w:p>
          <w:p w14:paraId="3193FBE8">
            <w:pPr>
              <w:pageBreakBefore w:val="0"/>
              <w:widowControl/>
              <w:kinsoku/>
              <w:wordWrap/>
              <w:overflowPunct/>
              <w:topLinePunct w:val="0"/>
              <w:bidi w:val="0"/>
              <w:snapToGrid/>
              <w:spacing w:line="360" w:lineRule="exact"/>
              <w:ind w:firstLine="5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（4）教师要求：本课程的主讲教师须有过指导学生就业或从事过学生管理的工作经历，熟悉企业招聘流程和规则，能够理论联系实际帮助学生做好职业规划。</w:t>
            </w:r>
          </w:p>
          <w:p w14:paraId="76869AB6">
            <w:pPr>
              <w:pageBreakBefore w:val="0"/>
              <w:widowControl/>
              <w:kinsoku/>
              <w:wordWrap/>
              <w:overflowPunct/>
              <w:topLinePunct w:val="0"/>
              <w:bidi w:val="0"/>
              <w:snapToGrid/>
              <w:spacing w:line="360" w:lineRule="exact"/>
              <w:ind w:firstLine="5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（5）课程思政：能够结合社会主义核心价值观引导学生树立“爱岗”“敬业”“诚信”“守信”等良好品质。</w:t>
            </w:r>
          </w:p>
          <w:p w14:paraId="79EE1D2D">
            <w:pPr>
              <w:pageBreakBefore w:val="0"/>
              <w:widowControl/>
              <w:kinsoku/>
              <w:wordWrap/>
              <w:overflowPunct/>
              <w:topLinePunct w:val="0"/>
              <w:bidi w:val="0"/>
              <w:snapToGrid/>
              <w:spacing w:line="360" w:lineRule="exact"/>
              <w:ind w:firstLine="5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（6）评价建议：采取学习过程考核（30%）+期末测评（70%）评定学习效果。</w:t>
            </w:r>
          </w:p>
          <w:p w14:paraId="03C62E5E">
            <w:pPr>
              <w:pageBreakBefore w:val="0"/>
              <w:widowControl/>
              <w:kinsoku/>
              <w:wordWrap/>
              <w:overflowPunct/>
              <w:topLinePunct w:val="0"/>
              <w:bidi w:val="0"/>
              <w:snapToGrid/>
              <w:spacing w:line="360" w:lineRule="exact"/>
              <w:ind w:firstLine="5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（5）课程思政：能够结合社会主义核心价值观引导学生树立“爱岗”“敬业”“诚信”“守信”等良好品质。</w:t>
            </w:r>
          </w:p>
          <w:p w14:paraId="7239EEF3">
            <w:pPr>
              <w:pageBreakBefore w:val="0"/>
              <w:widowControl/>
              <w:kinsoku/>
              <w:wordWrap/>
              <w:overflowPunct/>
              <w:topLinePunct w:val="0"/>
              <w:bidi w:val="0"/>
              <w:snapToGrid/>
              <w:spacing w:line="360" w:lineRule="exact"/>
              <w:ind w:firstLine="55"/>
              <w:textAlignment w:val="auto"/>
              <w:rPr>
                <w:rFonts w:ascii="宋体" w:hAnsi="宋体" w:cs="宋体"/>
                <w:b/>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（6）评价建议：采取学习过程考核（50%）+期末测评（50%）评定学习效果。</w:t>
            </w:r>
          </w:p>
        </w:tc>
      </w:tr>
      <w:tr w14:paraId="410A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815E0ED">
            <w:pPr>
              <w:keepLines/>
              <w:pageBreakBefore w:val="0"/>
              <w:shd w:val="clear" w:color="auto" w:fill="FFFFFF"/>
              <w:kinsoku/>
              <w:wordWrap/>
              <w:overflowPunct/>
              <w:topLinePunct w:val="0"/>
              <w:bidi w:val="0"/>
              <w:snapToGrid/>
              <w:spacing w:line="360" w:lineRule="exact"/>
              <w:jc w:val="center"/>
              <w:textAlignment w:val="auto"/>
              <w:rPr>
                <w:rFonts w:ascii="宋体" w:hAnsi="宋体" w:cs="宋体"/>
                <w:bCs/>
                <w:sz w:val="18"/>
                <w:szCs w:val="18"/>
              </w:rPr>
            </w:pPr>
            <w:r>
              <w:rPr>
                <w:rFonts w:hint="eastAsia" w:ascii="宋体" w:hAnsi="宋体" w:cs="宋体"/>
                <w:b/>
                <w:bCs/>
                <w:sz w:val="18"/>
                <w:szCs w:val="18"/>
              </w:rPr>
              <w:t>创新创业教育</w:t>
            </w:r>
          </w:p>
        </w:tc>
        <w:tc>
          <w:tcPr>
            <w:tcW w:w="2778" w:type="dxa"/>
          </w:tcPr>
          <w:p w14:paraId="4B8AB2B8">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（1）掌握创新的概念，了解创新的内涵和技法。</w:t>
            </w:r>
          </w:p>
          <w:p w14:paraId="5AF5B119">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（2）掌握开展创新创业活动所需要的基本知识、了解创业优惠政策。</w:t>
            </w:r>
          </w:p>
          <w:p w14:paraId="67C3FFBD">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（3）了解行业的发展特点和趋势。</w:t>
            </w:r>
          </w:p>
          <w:p w14:paraId="1AB3E1F5">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 xml:space="preserve">（4）掌握创业计划书的内容，熟悉创业方式和基本流程，树立科学的创业观。 </w:t>
            </w:r>
          </w:p>
          <w:p w14:paraId="2465FBC5">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（5）形成创新创业理念、提升创新创业能力，能够撰写创业计划书。</w:t>
            </w:r>
          </w:p>
          <w:p w14:paraId="2DBC1485">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（6）具备团队协作能力。</w:t>
            </w:r>
          </w:p>
          <w:p w14:paraId="7DBEFA5E">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（7）具备与他人合作，提供有价值解决方案的能力。</w:t>
            </w:r>
          </w:p>
          <w:p w14:paraId="43493DE5">
            <w:pPr>
              <w:keepLines/>
              <w:pageBreakBefore w:val="0"/>
              <w:widowControl/>
              <w:kinsoku/>
              <w:wordWrap/>
              <w:overflowPunct/>
              <w:topLinePunct w:val="0"/>
              <w:bidi w:val="0"/>
              <w:snapToGrid/>
              <w:spacing w:line="360" w:lineRule="exact"/>
              <w:textAlignment w:val="auto"/>
              <w:rPr>
                <w:rFonts w:ascii="宋体" w:hAnsi="宋体" w:cs="宋体"/>
                <w:b/>
                <w:bCs/>
                <w:kern w:val="0"/>
                <w:sz w:val="18"/>
                <w:szCs w:val="18"/>
              </w:rPr>
            </w:pPr>
            <w:r>
              <w:rPr>
                <w:rFonts w:hint="eastAsia" w:ascii="宋体" w:hAnsi="宋体" w:cs="宋体"/>
                <w:kern w:val="0"/>
                <w:sz w:val="18"/>
                <w:szCs w:val="18"/>
              </w:rPr>
              <w:t>（8）运用互联网思维利用自身特长进行创业的能力。</w:t>
            </w:r>
          </w:p>
          <w:p w14:paraId="51EE29B0">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（9）培养当代大学生创新创业意识与创新创业思维，提高创新创业综合素质。</w:t>
            </w:r>
          </w:p>
          <w:p w14:paraId="4AC0E359">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（10）培养具有创新精神、敢想敢干、有经济头脑、善于发挥自身优势、善于人际交往的创新型人才。</w:t>
            </w:r>
          </w:p>
          <w:p w14:paraId="1BBD5E01">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（11）积极参与创新创业建设，倡导敢为人先、敢于冒险的新风尚。</w:t>
            </w:r>
          </w:p>
          <w:p w14:paraId="596A809F">
            <w:pPr>
              <w:keepLines/>
              <w:pageBreakBefore w:val="0"/>
              <w:widowControl/>
              <w:kinsoku/>
              <w:wordWrap/>
              <w:overflowPunct/>
              <w:topLinePunct w:val="0"/>
              <w:bidi w:val="0"/>
              <w:snapToGrid/>
              <w:spacing w:line="360" w:lineRule="exact"/>
              <w:ind w:firstLine="55"/>
              <w:textAlignment w:val="auto"/>
              <w:rPr>
                <w:rFonts w:ascii="宋体" w:hAnsi="宋体" w:cs="宋体"/>
                <w:sz w:val="18"/>
                <w:szCs w:val="18"/>
              </w:rPr>
            </w:pPr>
            <w:r>
              <w:rPr>
                <w:rFonts w:hint="eastAsia" w:ascii="宋体" w:hAnsi="宋体" w:cs="宋体"/>
                <w:kern w:val="0"/>
                <w:sz w:val="18"/>
                <w:szCs w:val="18"/>
              </w:rPr>
              <w:t>（12）勇于投身社会实践，推进科技成果向实际生产的转化，为建设创新型国家作出贡献。</w:t>
            </w:r>
          </w:p>
        </w:tc>
        <w:tc>
          <w:tcPr>
            <w:tcW w:w="2778" w:type="dxa"/>
          </w:tcPr>
          <w:p w14:paraId="69767B6C">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 xml:space="preserve">（1）创新概念和类型。  </w:t>
            </w:r>
          </w:p>
          <w:p w14:paraId="2420DF59">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 xml:space="preserve">（2）创新意识和创新能力。 </w:t>
            </w:r>
          </w:p>
          <w:p w14:paraId="1178384D">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 xml:space="preserve">（3）创新思维及分类。 </w:t>
            </w:r>
          </w:p>
          <w:p w14:paraId="78067843">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 xml:space="preserve">（4）创新技法。  </w:t>
            </w:r>
          </w:p>
          <w:p w14:paraId="1E7AD1B3">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 xml:space="preserve">（5）大学生创新实践项目展示。  </w:t>
            </w:r>
          </w:p>
          <w:p w14:paraId="6107FAC6">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 xml:space="preserve">（6）创业的概念、过程和阶段。  </w:t>
            </w:r>
          </w:p>
          <w:p w14:paraId="43711A03">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 xml:space="preserve">（7）创业准备。  </w:t>
            </w:r>
          </w:p>
          <w:p w14:paraId="7C8EF438">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 xml:space="preserve">（8）创办企业基本步骤。 </w:t>
            </w:r>
          </w:p>
          <w:p w14:paraId="3AC62FCA">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 xml:space="preserve">（9）新创企业经营管理。 </w:t>
            </w:r>
          </w:p>
          <w:p w14:paraId="4190F5A9">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 xml:space="preserve">（10）大学生创业实践项目展示。  </w:t>
            </w:r>
          </w:p>
          <w:p w14:paraId="786C6D97">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p>
        </w:tc>
        <w:tc>
          <w:tcPr>
            <w:tcW w:w="2778" w:type="dxa"/>
          </w:tcPr>
          <w:p w14:paraId="7200F0BB">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1）教学模式：采用线上+线下混合式教学模式，线上通过课堂外在线自主学习和创新，实现知识传递和展现；线下通过将课堂变成互动场所，进行探究学习，突出强调理论联系实际，切实增强针对性，注重实效。</w:t>
            </w:r>
          </w:p>
          <w:p w14:paraId="324848A8">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（2）教学方法：主要运用案例分析、情景模拟、小组讨论、角色扮演等教学方法，通过社会调查和创新创业大赛等活动激发学生创新创业的热情。</w:t>
            </w:r>
          </w:p>
          <w:p w14:paraId="3682936B">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（3）教学条件：多媒体教室和智慧校园平台。</w:t>
            </w:r>
          </w:p>
          <w:p w14:paraId="3C51D6B6">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（4）教师要求：本课程的主讲教师须有过创业经历或参加过创新、创业项目（或大赛）或指导过学生创新创业项目和大赛。</w:t>
            </w:r>
          </w:p>
          <w:p w14:paraId="56EC1354">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（5）课程思政：在教学实施中，结合社会主义核心价值观，将爱国主义、诚实守信、责任意识、法律意识、团队合作精神等融入课堂教学和案例分析中。</w:t>
            </w:r>
          </w:p>
          <w:p w14:paraId="7A7312EF">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kern w:val="0"/>
                <w:sz w:val="18"/>
                <w:szCs w:val="18"/>
              </w:rPr>
              <w:t>（6）评价建议：采取学习过程考核（30%）+期末测评（70%）评定学习效果。</w:t>
            </w:r>
          </w:p>
        </w:tc>
      </w:tr>
      <w:tr w14:paraId="2F87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CC3F71D">
            <w:pPr>
              <w:keepLines/>
              <w:pageBreakBefore w:val="0"/>
              <w:shd w:val="clear" w:color="auto" w:fill="FFFFFF"/>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大学英语</w:t>
            </w:r>
          </w:p>
          <w:p w14:paraId="25EA42A3">
            <w:pPr>
              <w:keepLines/>
              <w:pageBreakBefore w:val="0"/>
              <w:shd w:val="clear" w:color="auto" w:fill="FFFFFF"/>
              <w:kinsoku/>
              <w:wordWrap/>
              <w:overflowPunct/>
              <w:topLinePunct w:val="0"/>
              <w:bidi w:val="0"/>
              <w:snapToGrid/>
              <w:spacing w:line="360" w:lineRule="exact"/>
              <w:jc w:val="center"/>
              <w:textAlignment w:val="auto"/>
              <w:rPr>
                <w:rFonts w:ascii="宋体" w:hAnsi="宋体" w:cs="宋体"/>
                <w:bCs/>
                <w:sz w:val="18"/>
                <w:szCs w:val="18"/>
              </w:rPr>
            </w:pPr>
          </w:p>
        </w:tc>
        <w:tc>
          <w:tcPr>
            <w:tcW w:w="2778" w:type="dxa"/>
          </w:tcPr>
          <w:p w14:paraId="3C860126">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kern w:val="0"/>
                <w:sz w:val="18"/>
                <w:szCs w:val="18"/>
              </w:rPr>
              <w:t>（1）职场涉外沟通目标：掌握必要的英语语音、词汇、语法、语篇和语用知识，具备必要的英语听、说、读、看、写、译技能，能够根据语</w:t>
            </w:r>
            <w:r>
              <w:rPr>
                <w:rFonts w:hint="eastAsia" w:ascii="宋体" w:hAnsi="宋体" w:cs="宋体"/>
                <w:bCs/>
                <w:sz w:val="18"/>
                <w:szCs w:val="18"/>
              </w:rPr>
              <w:t xml:space="preserve">境运用合适的策略，理解和表达口头和书面话语的意义，有效完成日常生活和职场情境中的沟通任务。 </w:t>
            </w:r>
          </w:p>
          <w:p w14:paraId="7FAAC81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 xml:space="preserve">（2）多元文化交流目标：能够通过英语学习获得多元文化知识，理解文化内涵，汲取文化精华，树立中华民族共同体意识和人类命运共同体意识，形成正确的世界观、人生观、价值观；通过文化比较加深对中华文化的理解，继承中华优秀文化，增强文化自信；坚持中国立场，具有国际视野，能用英语讲述中国故事，传播中华文化。 </w:t>
            </w:r>
          </w:p>
          <w:p w14:paraId="40013CE8">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3）语言思维提升目标：通过分析英语口头和书面话语，能够辨析语言和文化中的具体现象，了解抽象与概括、分析与综合、比较与分类等思维方法，辨别中英两种语言思维方式的异同，具有一定的逻辑、思辨和创新思维水平。</w:t>
            </w:r>
          </w:p>
          <w:p w14:paraId="2834922F">
            <w:pPr>
              <w:keepLines/>
              <w:pageBreakBefore w:val="0"/>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 xml:space="preserve">（4）自主学习完善目标：认识英语学习的意义，树立正确的英语学习观，具有明确的英语学习目标，能够有效规划学习时间和学习任务。 </w:t>
            </w:r>
          </w:p>
        </w:tc>
        <w:tc>
          <w:tcPr>
            <w:tcW w:w="2778" w:type="dxa"/>
          </w:tcPr>
          <w:p w14:paraId="5C0ED0A9">
            <w:pPr>
              <w:pageBreakBefore w:val="0"/>
              <w:kinsoku/>
              <w:wordWrap/>
              <w:overflowPunct/>
              <w:topLinePunct w:val="0"/>
              <w:bidi w:val="0"/>
              <w:snapToGrid/>
              <w:spacing w:line="360" w:lineRule="exact"/>
              <w:textAlignment w:val="auto"/>
              <w:rPr>
                <w:rFonts w:ascii="宋体" w:hAnsi="宋体" w:cs="宋体"/>
                <w:b/>
                <w:bCs/>
                <w:sz w:val="18"/>
                <w:szCs w:val="18"/>
              </w:rPr>
            </w:pPr>
            <w:r>
              <w:rPr>
                <w:rFonts w:hint="eastAsia" w:ascii="宋体" w:hAnsi="宋体" w:cs="宋体"/>
                <w:b/>
                <w:bCs/>
                <w:sz w:val="18"/>
                <w:szCs w:val="18"/>
              </w:rPr>
              <w:t>Unit 1. A New Start</w:t>
            </w:r>
          </w:p>
          <w:p w14:paraId="396BCCAF">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Listen</w:t>
            </w:r>
          </w:p>
          <w:p w14:paraId="64874387">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Discuss</w:t>
            </w:r>
          </w:p>
          <w:p w14:paraId="40F5EB95">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Read</w:t>
            </w:r>
          </w:p>
          <w:p w14:paraId="62F91F2C">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Grammar</w:t>
            </w:r>
          </w:p>
          <w:p w14:paraId="413A90D9">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Write</w:t>
            </w:r>
          </w:p>
          <w:p w14:paraId="2ED6C2C1">
            <w:pPr>
              <w:pageBreakBefore w:val="0"/>
              <w:kinsoku/>
              <w:wordWrap/>
              <w:overflowPunct/>
              <w:topLinePunct w:val="0"/>
              <w:bidi w:val="0"/>
              <w:snapToGrid/>
              <w:spacing w:line="360" w:lineRule="exact"/>
              <w:textAlignment w:val="auto"/>
              <w:rPr>
                <w:rFonts w:ascii="宋体" w:hAnsi="宋体" w:cs="宋体"/>
                <w:b/>
                <w:bCs/>
                <w:sz w:val="18"/>
                <w:szCs w:val="18"/>
              </w:rPr>
            </w:pPr>
            <w:r>
              <w:rPr>
                <w:rFonts w:hint="eastAsia" w:ascii="宋体" w:hAnsi="宋体" w:cs="宋体"/>
                <w:b/>
                <w:bCs/>
                <w:sz w:val="18"/>
                <w:szCs w:val="18"/>
              </w:rPr>
              <w:t>Unit2. Develop Your Study Habits</w:t>
            </w:r>
          </w:p>
          <w:p w14:paraId="769976C0">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Listen</w:t>
            </w:r>
          </w:p>
          <w:p w14:paraId="631D5E06">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Discuss</w:t>
            </w:r>
          </w:p>
          <w:p w14:paraId="1B3991B9">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Read</w:t>
            </w:r>
          </w:p>
          <w:p w14:paraId="6B36AE68">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Grammar</w:t>
            </w:r>
          </w:p>
          <w:p w14:paraId="57F0D35C">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Write</w:t>
            </w:r>
          </w:p>
          <w:p w14:paraId="32F08821">
            <w:pPr>
              <w:pageBreakBefore w:val="0"/>
              <w:kinsoku/>
              <w:wordWrap/>
              <w:overflowPunct/>
              <w:topLinePunct w:val="0"/>
              <w:bidi w:val="0"/>
              <w:snapToGrid/>
              <w:spacing w:line="360" w:lineRule="exact"/>
              <w:textAlignment w:val="auto"/>
              <w:rPr>
                <w:rFonts w:ascii="宋体" w:hAnsi="宋体" w:cs="宋体"/>
                <w:b/>
                <w:bCs/>
                <w:sz w:val="18"/>
                <w:szCs w:val="18"/>
              </w:rPr>
            </w:pPr>
            <w:r>
              <w:rPr>
                <w:rFonts w:hint="eastAsia" w:ascii="宋体" w:hAnsi="宋体" w:cs="宋体"/>
                <w:b/>
                <w:bCs/>
                <w:sz w:val="18"/>
                <w:szCs w:val="18"/>
              </w:rPr>
              <w:t>Unit3. Enjoy Your Spare Time</w:t>
            </w:r>
          </w:p>
          <w:p w14:paraId="580C642E">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Listen</w:t>
            </w:r>
          </w:p>
          <w:p w14:paraId="7E8A2E3B">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Discuss</w:t>
            </w:r>
          </w:p>
          <w:p w14:paraId="0C7259CB">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Read</w:t>
            </w:r>
          </w:p>
          <w:p w14:paraId="1A17469F">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Grammar</w:t>
            </w:r>
          </w:p>
          <w:p w14:paraId="647288B3">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Write</w:t>
            </w:r>
          </w:p>
          <w:p w14:paraId="38F24E7D">
            <w:pPr>
              <w:pageBreakBefore w:val="0"/>
              <w:kinsoku/>
              <w:wordWrap/>
              <w:overflowPunct/>
              <w:topLinePunct w:val="0"/>
              <w:bidi w:val="0"/>
              <w:snapToGrid/>
              <w:spacing w:line="360" w:lineRule="exact"/>
              <w:textAlignment w:val="auto"/>
              <w:rPr>
                <w:rFonts w:ascii="宋体" w:hAnsi="宋体" w:cs="宋体"/>
                <w:b/>
                <w:bCs/>
                <w:sz w:val="18"/>
                <w:szCs w:val="18"/>
              </w:rPr>
            </w:pPr>
            <w:r>
              <w:rPr>
                <w:rFonts w:hint="eastAsia" w:ascii="宋体" w:hAnsi="宋体" w:cs="宋体"/>
                <w:b/>
                <w:bCs/>
                <w:sz w:val="18"/>
                <w:szCs w:val="18"/>
              </w:rPr>
              <w:t>Unit 4. Make Your Choices</w:t>
            </w:r>
          </w:p>
          <w:p w14:paraId="3C73C888">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Listen</w:t>
            </w:r>
          </w:p>
          <w:p w14:paraId="47B5E8A7">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Discuss</w:t>
            </w:r>
          </w:p>
          <w:p w14:paraId="4CD40A95">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Read</w:t>
            </w:r>
          </w:p>
          <w:p w14:paraId="621180E9">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Grammar</w:t>
            </w:r>
          </w:p>
          <w:p w14:paraId="5856B523">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Write</w:t>
            </w:r>
          </w:p>
          <w:p w14:paraId="56D28BAE">
            <w:pPr>
              <w:pageBreakBefore w:val="0"/>
              <w:kinsoku/>
              <w:wordWrap/>
              <w:overflowPunct/>
              <w:topLinePunct w:val="0"/>
              <w:bidi w:val="0"/>
              <w:snapToGrid/>
              <w:spacing w:line="360" w:lineRule="exact"/>
              <w:textAlignment w:val="auto"/>
              <w:rPr>
                <w:rFonts w:ascii="宋体" w:hAnsi="宋体" w:cs="宋体"/>
                <w:b/>
                <w:bCs/>
                <w:sz w:val="18"/>
                <w:szCs w:val="18"/>
              </w:rPr>
            </w:pPr>
            <w:r>
              <w:rPr>
                <w:rFonts w:hint="eastAsia" w:ascii="宋体" w:hAnsi="宋体" w:cs="宋体"/>
                <w:b/>
                <w:bCs/>
                <w:sz w:val="18"/>
                <w:szCs w:val="18"/>
              </w:rPr>
              <w:t>Unit5. Use Your Smart Phones Wisely</w:t>
            </w:r>
          </w:p>
          <w:p w14:paraId="597B58B5">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Listen</w:t>
            </w:r>
          </w:p>
          <w:p w14:paraId="0152D6EF">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Discuss</w:t>
            </w:r>
          </w:p>
          <w:p w14:paraId="1D60E15F">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Read</w:t>
            </w:r>
          </w:p>
          <w:p w14:paraId="1B25D94A">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Grammar</w:t>
            </w:r>
          </w:p>
          <w:p w14:paraId="25ED3894">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Write</w:t>
            </w:r>
          </w:p>
          <w:p w14:paraId="39FA7270">
            <w:pPr>
              <w:pageBreakBefore w:val="0"/>
              <w:kinsoku/>
              <w:wordWrap/>
              <w:overflowPunct/>
              <w:topLinePunct w:val="0"/>
              <w:bidi w:val="0"/>
              <w:snapToGrid/>
              <w:spacing w:line="360" w:lineRule="exact"/>
              <w:textAlignment w:val="auto"/>
              <w:rPr>
                <w:rFonts w:ascii="宋体" w:hAnsi="宋体" w:cs="宋体"/>
                <w:b/>
                <w:bCs/>
                <w:sz w:val="18"/>
                <w:szCs w:val="18"/>
              </w:rPr>
            </w:pPr>
            <w:r>
              <w:rPr>
                <w:rFonts w:hint="eastAsia" w:ascii="宋体" w:hAnsi="宋体" w:cs="宋体"/>
                <w:b/>
                <w:bCs/>
                <w:sz w:val="18"/>
                <w:szCs w:val="18"/>
              </w:rPr>
              <w:t>Unit 6. Love Your Parents</w:t>
            </w:r>
          </w:p>
          <w:p w14:paraId="35B45B79">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Listen</w:t>
            </w:r>
          </w:p>
          <w:p w14:paraId="15BE3338">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Discuss</w:t>
            </w:r>
          </w:p>
          <w:p w14:paraId="26C75A16">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Read</w:t>
            </w:r>
          </w:p>
          <w:p w14:paraId="1E9BD598">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Grammar</w:t>
            </w:r>
          </w:p>
          <w:p w14:paraId="2E4C2C74">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Write</w:t>
            </w:r>
          </w:p>
          <w:p w14:paraId="4D5A9A3F">
            <w:pPr>
              <w:pageBreakBefore w:val="0"/>
              <w:kinsoku/>
              <w:wordWrap/>
              <w:overflowPunct/>
              <w:topLinePunct w:val="0"/>
              <w:bidi w:val="0"/>
              <w:snapToGrid/>
              <w:spacing w:line="360" w:lineRule="exact"/>
              <w:jc w:val="left"/>
              <w:textAlignment w:val="auto"/>
              <w:rPr>
                <w:rFonts w:ascii="宋体" w:hAnsi="宋体" w:cs="宋体"/>
                <w:b/>
                <w:bCs/>
                <w:sz w:val="18"/>
                <w:szCs w:val="18"/>
              </w:rPr>
            </w:pPr>
            <w:r>
              <w:rPr>
                <w:rFonts w:hint="eastAsia" w:ascii="宋体" w:hAnsi="宋体" w:cs="宋体"/>
                <w:b/>
                <w:bCs/>
                <w:sz w:val="18"/>
                <w:szCs w:val="18"/>
              </w:rPr>
              <w:t>Unit7.Have Some Fun in Festivals</w:t>
            </w:r>
          </w:p>
          <w:p w14:paraId="681A52A7">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Listen</w:t>
            </w:r>
          </w:p>
          <w:p w14:paraId="24908E3B">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Discuss</w:t>
            </w:r>
          </w:p>
          <w:p w14:paraId="75B156E6">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Read</w:t>
            </w:r>
          </w:p>
          <w:p w14:paraId="3C0398A0">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Grammar</w:t>
            </w:r>
          </w:p>
          <w:p w14:paraId="086E2FAC">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Write</w:t>
            </w:r>
          </w:p>
          <w:p w14:paraId="4FE6F65B">
            <w:pPr>
              <w:pageBreakBefore w:val="0"/>
              <w:kinsoku/>
              <w:wordWrap/>
              <w:overflowPunct/>
              <w:topLinePunct w:val="0"/>
              <w:bidi w:val="0"/>
              <w:snapToGrid/>
              <w:spacing w:line="360" w:lineRule="exact"/>
              <w:textAlignment w:val="auto"/>
              <w:rPr>
                <w:rFonts w:ascii="宋体" w:hAnsi="宋体" w:cs="宋体"/>
                <w:b/>
                <w:bCs/>
                <w:sz w:val="18"/>
                <w:szCs w:val="18"/>
              </w:rPr>
            </w:pPr>
            <w:r>
              <w:rPr>
                <w:rFonts w:hint="eastAsia" w:ascii="宋体" w:hAnsi="宋体" w:cs="宋体"/>
                <w:b/>
                <w:bCs/>
                <w:sz w:val="18"/>
                <w:szCs w:val="18"/>
              </w:rPr>
              <w:t>Unit 8. Travel</w:t>
            </w:r>
          </w:p>
          <w:p w14:paraId="29708345">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Listen</w:t>
            </w:r>
          </w:p>
          <w:p w14:paraId="41A199EC">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Discuss</w:t>
            </w:r>
          </w:p>
          <w:p w14:paraId="425DF5C2">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Let’s Read</w:t>
            </w:r>
          </w:p>
          <w:p w14:paraId="4260CD4B">
            <w:pPr>
              <w:pageBreakBefore w:val="0"/>
              <w:kinsoku/>
              <w:wordWrap/>
              <w:overflowPunct/>
              <w:topLinePunct w:val="0"/>
              <w:bidi w:val="0"/>
              <w:snapToGrid/>
              <w:spacing w:line="360" w:lineRule="exact"/>
              <w:ind w:firstLine="180" w:firstLineChars="100"/>
              <w:textAlignment w:val="auto"/>
              <w:rPr>
                <w:rFonts w:ascii="宋体" w:hAnsi="宋体" w:cs="宋体"/>
                <w:sz w:val="18"/>
                <w:szCs w:val="18"/>
              </w:rPr>
            </w:pPr>
            <w:r>
              <w:rPr>
                <w:rFonts w:hint="eastAsia" w:ascii="宋体" w:hAnsi="宋体" w:cs="宋体"/>
                <w:sz w:val="18"/>
                <w:szCs w:val="18"/>
              </w:rPr>
              <w:t>Grammar</w:t>
            </w:r>
          </w:p>
          <w:p w14:paraId="61F3178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sz w:val="18"/>
                <w:szCs w:val="18"/>
              </w:rPr>
              <w:t>Let’s Write</w:t>
            </w:r>
          </w:p>
        </w:tc>
        <w:tc>
          <w:tcPr>
            <w:tcW w:w="2778" w:type="dxa"/>
          </w:tcPr>
          <w:p w14:paraId="6F395235">
            <w:pPr>
              <w:keepLines/>
              <w:pageBreakBefore w:val="0"/>
              <w:widowControl/>
              <w:kinsoku/>
              <w:wordWrap/>
              <w:overflowPunct/>
              <w:topLinePunct w:val="0"/>
              <w:bidi w:val="0"/>
              <w:snapToGrid/>
              <w:spacing w:line="360" w:lineRule="exact"/>
              <w:ind w:firstLine="55"/>
              <w:textAlignment w:val="auto"/>
              <w:rPr>
                <w:rFonts w:ascii="宋体" w:hAnsi="宋体" w:cs="宋体"/>
                <w:kern w:val="0"/>
                <w:sz w:val="18"/>
                <w:szCs w:val="18"/>
              </w:rPr>
            </w:pPr>
            <w:r>
              <w:rPr>
                <w:rFonts w:hint="eastAsia" w:ascii="宋体" w:hAnsi="宋体" w:cs="宋体"/>
                <w:kern w:val="0"/>
                <w:sz w:val="18"/>
                <w:szCs w:val="18"/>
              </w:rPr>
              <w:t>（1）</w:t>
            </w:r>
            <w:r>
              <w:rPr>
                <w:rFonts w:hint="eastAsia" w:ascii="宋体" w:hAnsi="宋体" w:cs="宋体"/>
                <w:bCs/>
                <w:sz w:val="18"/>
                <w:szCs w:val="18"/>
              </w:rPr>
              <w:t>教学模式</w:t>
            </w:r>
            <w:r>
              <w:rPr>
                <w:rFonts w:hint="eastAsia" w:ascii="宋体" w:hAnsi="宋体" w:cs="宋体"/>
                <w:kern w:val="0"/>
                <w:sz w:val="18"/>
                <w:szCs w:val="18"/>
              </w:rPr>
              <w:t>：教学以学生为中心，采取“课前导学－课中研学－课后延学”的线上线下混合式教学模式，以第一课堂为主，课内课外结合，以形式多样的语言实践活动为载体满足学生个性化学习需求，提升学生英语学习兴趣和英语语言综合素养。</w:t>
            </w:r>
          </w:p>
          <w:p w14:paraId="1AF201C7">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（2）教学方法：运用讨论法、情境教学法、任务驱动教学法、成果导向教学法、启发式教学法等，全面提升课堂效率和学生学习兴趣。</w:t>
            </w:r>
          </w:p>
          <w:p w14:paraId="10A37483">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（3）教学条件：多媒体教室、学习通、智谱清言、英语趣配音、网易有道词典等。</w:t>
            </w:r>
          </w:p>
          <w:p w14:paraId="1F0EADB4">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（4）教师要求：</w:t>
            </w:r>
            <w:r>
              <w:rPr>
                <w:rFonts w:hint="eastAsia" w:ascii="宋体" w:hAnsi="宋体" w:cs="宋体"/>
                <w:sz w:val="18"/>
                <w:szCs w:val="18"/>
              </w:rPr>
              <w:t>具有高等教育教师资格证书的专职教师，每位教师均需具备深厚的英语语言文学功底和丰富的教学经验。团队成员的专业背景应广泛覆盖英语教育、英语笔译等多个领域，以确保教学内容的丰富性和深度。</w:t>
            </w:r>
            <w:r>
              <w:rPr>
                <w:rFonts w:hint="eastAsia" w:ascii="宋体" w:hAnsi="宋体" w:cs="宋体"/>
                <w:bCs/>
                <w:sz w:val="18"/>
                <w:szCs w:val="18"/>
              </w:rPr>
              <w:t xml:space="preserve"> </w:t>
            </w:r>
          </w:p>
          <w:p w14:paraId="4C8821FE">
            <w:pPr>
              <w:keepLines/>
              <w:pageBreakBefore w:val="0"/>
              <w:kinsoku/>
              <w:wordWrap/>
              <w:overflowPunct/>
              <w:topLinePunct w:val="0"/>
              <w:bidi w:val="0"/>
              <w:snapToGrid/>
              <w:spacing w:line="360" w:lineRule="exact"/>
              <w:ind w:firstLine="55"/>
              <w:textAlignment w:val="auto"/>
              <w:rPr>
                <w:rFonts w:ascii="宋体" w:hAnsi="宋体" w:cs="宋体"/>
                <w:b/>
                <w:sz w:val="18"/>
                <w:szCs w:val="18"/>
              </w:rPr>
            </w:pPr>
            <w:r>
              <w:rPr>
                <w:rFonts w:hint="eastAsia" w:ascii="宋体" w:hAnsi="宋体" w:cs="宋体"/>
                <w:bCs/>
                <w:sz w:val="18"/>
                <w:szCs w:val="18"/>
              </w:rPr>
              <w:t>（5）考核方式：口语+作文。（考勤+课堂表现+日常作业）平时成绩30%+ （口语35%+作文35%）期末考试成绩70%。将课前、课中、课后三个阶段的学习表现纳入过程考核，注重第二课堂学习成果增值性评价，综合评定学生学习效果。</w:t>
            </w:r>
          </w:p>
        </w:tc>
      </w:tr>
      <w:tr w14:paraId="0E4F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393068F">
            <w:pPr>
              <w:keepLines/>
              <w:pageBreakBefore w:val="0"/>
              <w:shd w:val="clear" w:color="auto" w:fill="FFFFFF"/>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信息技术</w:t>
            </w:r>
          </w:p>
          <w:p w14:paraId="418E62B5">
            <w:pPr>
              <w:keepLines/>
              <w:pageBreakBefore w:val="0"/>
              <w:shd w:val="clear" w:color="auto" w:fill="FFFFFF"/>
              <w:kinsoku/>
              <w:wordWrap/>
              <w:overflowPunct/>
              <w:topLinePunct w:val="0"/>
              <w:bidi w:val="0"/>
              <w:snapToGrid/>
              <w:spacing w:line="360" w:lineRule="exact"/>
              <w:jc w:val="center"/>
              <w:textAlignment w:val="auto"/>
              <w:rPr>
                <w:rFonts w:ascii="宋体" w:hAnsi="宋体" w:cs="宋体"/>
                <w:sz w:val="18"/>
                <w:szCs w:val="18"/>
              </w:rPr>
            </w:pPr>
          </w:p>
        </w:tc>
        <w:tc>
          <w:tcPr>
            <w:tcW w:w="2778" w:type="dxa"/>
          </w:tcPr>
          <w:p w14:paraId="5BE5B3A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1.知识目标</w:t>
            </w:r>
          </w:p>
          <w:p w14:paraId="71A413D5">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掌握WPSOffice三大核心组件（文字、表格、演示文稿）的基本功能与操作规范，包括文档排版、数据计算、图表制作、幻灯片设计；</w:t>
            </w:r>
          </w:p>
          <w:p w14:paraId="7E7842A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理解信息检索的基本原理与流程，熟悉搜索引擎、知网等平台的使用方法；</w:t>
            </w:r>
          </w:p>
          <w:p w14:paraId="62C1A8B2">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了解新一代信息技术（人工智能、区块链、5G、量子信息等）的基础概念及典型应用场景。</w:t>
            </w:r>
          </w:p>
          <w:p w14:paraId="11EFED5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2.能力目标</w:t>
            </w:r>
          </w:p>
          <w:p w14:paraId="459DABDE">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具备使用WPS完成职业场景任务的能力，如制作商务合同、薪资管理表、工作总结演示文稿；</w:t>
            </w:r>
          </w:p>
          <w:p w14:paraId="7BB9DB5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能够运用信息检索技术获取专业资料，并通过数据分析工具（如数据透视表、分类汇总）处理实际问题；</w:t>
            </w:r>
          </w:p>
          <w:p w14:paraId="6A1E6DE5">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掌握协同编辑、云端备份等数字化办公技能，适应现代职场协作需求。</w:t>
            </w:r>
          </w:p>
          <w:p w14:paraId="38017392">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3.素质目标</w:t>
            </w:r>
          </w:p>
          <w:p w14:paraId="3B967ACD">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培养信息伦理意识，正确辨识网络信息真伪（如“鲁迅名言”真伪辨析任务），遵守信息安全规范；</w:t>
            </w:r>
          </w:p>
          <w:p w14:paraId="7EDAE890">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强化职业责任感，通过案例实践（如社保计算、数字人民币应用）理解技术与社会责任的关联；</w:t>
            </w:r>
          </w:p>
          <w:p w14:paraId="0FC12315">
            <w:pPr>
              <w:keepLines/>
              <w:pageBreakBefore w:val="0"/>
              <w:widowControl/>
              <w:kinsoku/>
              <w:wordWrap/>
              <w:overflowPunct/>
              <w:topLinePunct w:val="0"/>
              <w:bidi w:val="0"/>
              <w:snapToGrid/>
              <w:spacing w:line="360" w:lineRule="exact"/>
              <w:textAlignment w:val="auto"/>
              <w:rPr>
                <w:rFonts w:ascii="宋体" w:hAnsi="宋体" w:cs="宋体"/>
                <w:b/>
                <w:bCs/>
                <w:sz w:val="18"/>
                <w:szCs w:val="18"/>
              </w:rPr>
            </w:pPr>
            <w:r>
              <w:rPr>
                <w:rFonts w:hint="eastAsia" w:ascii="宋体" w:hAnsi="宋体" w:cs="宋体"/>
                <w:bCs/>
                <w:sz w:val="18"/>
                <w:szCs w:val="18"/>
              </w:rPr>
              <w:t>激发科技强国意识，结合“量子信息研究成果”“5G测速”等任务融入爱国主义教育。</w:t>
            </w:r>
          </w:p>
        </w:tc>
        <w:tc>
          <w:tcPr>
            <w:tcW w:w="2778" w:type="dxa"/>
          </w:tcPr>
          <w:p w14:paraId="5F1C72CA">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课程分为六大项目，覆盖理论与实践：</w:t>
            </w:r>
          </w:p>
          <w:p w14:paraId="0D0D330D">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1.文档处理</w:t>
            </w:r>
          </w:p>
          <w:p w14:paraId="50872E27">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任务：制作商铺租赁合同、编排调研报告、毕业论文排版等。</w:t>
            </w:r>
          </w:p>
          <w:p w14:paraId="643A52E8">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技能点：文档加密、修订批注、样式应用、目录生成等。</w:t>
            </w:r>
          </w:p>
          <w:p w14:paraId="31B17C47">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2.电子表格处理</w:t>
            </w:r>
          </w:p>
          <w:p w14:paraId="7F2AC45D">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任务：薪资管理表制作、数据分类汇总、图表与数据透视图分析。</w:t>
            </w:r>
          </w:p>
          <w:p w14:paraId="47D286F4">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技能点：公式函数（SUMIFS、VLOOKUP）、条件格式、数据保护。</w:t>
            </w:r>
          </w:p>
          <w:p w14:paraId="158B29C1">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3.演示文稿制作</w:t>
            </w:r>
          </w:p>
          <w:p w14:paraId="05A0FE90">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任务：设计“工作总结”演示文稿，设置切换动画与超链接。</w:t>
            </w:r>
          </w:p>
          <w:p w14:paraId="7FEEB537">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技能点：母版设计、音频嵌入、打包与放映设置。</w:t>
            </w:r>
          </w:p>
          <w:p w14:paraId="38752760">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4.信息检索</w:t>
            </w:r>
          </w:p>
          <w:p w14:paraId="380F1BAB">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任务：检索最新科研信息、使用专业平台获取资料。</w:t>
            </w:r>
          </w:p>
          <w:p w14:paraId="0C5AF7AE">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技能点：检索策略优化、专用平台使用技巧。</w:t>
            </w:r>
          </w:p>
          <w:p w14:paraId="01189FFD">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5.新一代信息技术概述</w:t>
            </w:r>
          </w:p>
          <w:p w14:paraId="14A65E29">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任务：体验物联网应用、人工智能工具操作、区块链技术案例实践。</w:t>
            </w:r>
          </w:p>
          <w:p w14:paraId="6C3F34AC">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知识点：技术原理、应用场景及社会影响。</w:t>
            </w:r>
          </w:p>
          <w:p w14:paraId="6FF0F21C">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6.信息素养与社会责任</w:t>
            </w:r>
          </w:p>
          <w:p w14:paraId="4B7FC60F">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任务：线上会议操作、信息安全案例分析、职业场景模拟训练。</w:t>
            </w:r>
          </w:p>
          <w:p w14:paraId="46B46D68">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sz w:val="18"/>
                <w:szCs w:val="18"/>
              </w:rPr>
              <w:t>重点：信息伦理、职业自律、终身学习意识培养。</w:t>
            </w:r>
          </w:p>
        </w:tc>
        <w:tc>
          <w:tcPr>
            <w:tcW w:w="2778" w:type="dxa"/>
          </w:tcPr>
          <w:p w14:paraId="67181B7D">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（1）教学模式</w:t>
            </w:r>
          </w:p>
          <w:p w14:paraId="1212B92B">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任务驱动：通过“任务工单”引导学习流程（任务描述→分组讨论→实施→评价），强调实践导向。</w:t>
            </w:r>
          </w:p>
          <w:p w14:paraId="48127B2D">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混合式教学：结合微课资源与线下实训，支持分层学习。</w:t>
            </w:r>
          </w:p>
          <w:p w14:paraId="05E01519">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（2）教学条件</w:t>
            </w:r>
          </w:p>
          <w:p w14:paraId="6C9C7885">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硬件：配备WPS2019软件的计算机实验室，支持云端协作与数据备份。</w:t>
            </w:r>
          </w:p>
          <w:p w14:paraId="5F60D86E">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软件：需安装办公软件、安全工具、线上会议平台等，适配课程任务需求。</w:t>
            </w:r>
          </w:p>
          <w:p w14:paraId="5196838C">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（3）教学方法</w:t>
            </w:r>
          </w:p>
          <w:p w14:paraId="2A44D0BD">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案例教学：以真实职业场景（如企业简介制作、招聘启事协同编辑）为案例，提升应用能力。</w:t>
            </w:r>
          </w:p>
          <w:p w14:paraId="709A3B20">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分组协作：通过小组讨论与协同文档编辑任务培养团队合作能力。</w:t>
            </w:r>
          </w:p>
          <w:p w14:paraId="2DF8E1ED">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（4）教师要求</w:t>
            </w:r>
          </w:p>
          <w:p w14:paraId="2A16FC25">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熟练掌握WPS高级功能（如邮件合并、数据透视表），具备跨学科案例设计能力。</w:t>
            </w:r>
          </w:p>
          <w:p w14:paraId="126B7EC6">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能够运用评分软件进行过程性评价。</w:t>
            </w:r>
          </w:p>
          <w:p w14:paraId="54F48C5D">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（5）考核方式</w:t>
            </w:r>
          </w:p>
          <w:p w14:paraId="423DDDF5">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过程性考核（50%）：实验报告、小组项目、课堂参与度。</w:t>
            </w:r>
          </w:p>
          <w:p w14:paraId="503ED16E">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终结性考核（50%）：</w:t>
            </w:r>
          </w:p>
          <w:p w14:paraId="42413D7B">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理论考试：覆盖信息技术基础概念、伦理规范等。</w:t>
            </w:r>
          </w:p>
          <w:p w14:paraId="13CFA1F0">
            <w:pPr>
              <w:pageBreakBefore w:val="0"/>
              <w:kinsoku/>
              <w:wordWrap/>
              <w:overflowPunct/>
              <w:topLinePunct w:val="0"/>
              <w:bidi w:val="0"/>
              <w:snapToGrid/>
              <w:spacing w:line="360" w:lineRule="exact"/>
              <w:textAlignment w:val="auto"/>
              <w:rPr>
                <w:rFonts w:ascii="宋体" w:hAnsi="宋体" w:cs="宋体"/>
                <w:b/>
                <w:bCs/>
                <w:sz w:val="18"/>
                <w:szCs w:val="18"/>
              </w:rPr>
            </w:pPr>
            <w:r>
              <w:rPr>
                <w:rFonts w:hint="eastAsia" w:ascii="宋体" w:hAnsi="宋体" w:cs="宋体"/>
                <w:sz w:val="18"/>
                <w:szCs w:val="18"/>
              </w:rPr>
              <w:t>实操考试：限时完成综合任务（如制作数据分析报告及配套演示文稿）。</w:t>
            </w:r>
          </w:p>
        </w:tc>
      </w:tr>
      <w:tr w14:paraId="14BD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FEE1DFC">
            <w:pPr>
              <w:keepLines/>
              <w:pageBreakBefore w:val="0"/>
              <w:shd w:val="clear" w:color="auto" w:fill="FFFFFF"/>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b/>
                <w:bCs/>
                <w:sz w:val="18"/>
                <w:szCs w:val="18"/>
              </w:rPr>
              <w:t>人工智能与应用</w:t>
            </w:r>
          </w:p>
        </w:tc>
        <w:tc>
          <w:tcPr>
            <w:tcW w:w="2778" w:type="dxa"/>
          </w:tcPr>
          <w:p w14:paraId="00840765">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1.知识目标</w:t>
            </w:r>
          </w:p>
          <w:p w14:paraId="4874721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掌握人工智能的基本概念、发展简史及前沿技术（如知识图谱、深度学习、自然语言处理等）；</w:t>
            </w:r>
          </w:p>
          <w:p w14:paraId="45BBFFF0">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理解核心算法原理，包括知识表示方法（一阶谓词逻辑、产生式、框架）、搜索策略（启发式搜索、盲目搜索）、推理方法（确定性推理、不确定性推理）、机器学习模型（监督/无监督学习、神经网络）；</w:t>
            </w:r>
          </w:p>
          <w:p w14:paraId="5185412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熟悉人工智能在典型领域的应用场景，如智能制造、医疗、交通、教育。</w:t>
            </w:r>
          </w:p>
          <w:p w14:paraId="40325CC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2.能力目标</w:t>
            </w:r>
          </w:p>
          <w:p w14:paraId="32201B38">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能够运用人工智能技术分析和解决实际工程问题（如设计智能分拣系统、故障诊断系统）；</w:t>
            </w:r>
          </w:p>
          <w:p w14:paraId="2A593FAC">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具备开发简单人工智能系统的实践能力，包括编程实现算法、使用开发工具（如TensorFlow、PyTorch）和云平台（百度智能云、讯飞云）；</w:t>
            </w:r>
          </w:p>
          <w:p w14:paraId="158D6A25">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具备跨学科协作能力，能将人工智能思维迁移到专业领域（如材料科学、建筑设计）。</w:t>
            </w:r>
          </w:p>
          <w:p w14:paraId="0E23A0B4">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3.素质目标</w:t>
            </w:r>
          </w:p>
          <w:p w14:paraId="58F67E4D">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培养科学伦理意识，关注人工智能技术的社会影响（如隐私、安全、就业）。</w:t>
            </w:r>
          </w:p>
          <w:p w14:paraId="7FB61648">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强化创新精神和团队协作能力，通过项目实践培养解决复杂问题的综合素养；</w:t>
            </w:r>
          </w:p>
          <w:p w14:paraId="241A6615">
            <w:pPr>
              <w:keepLines/>
              <w:pageBreakBefore w:val="0"/>
              <w:widowControl/>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bCs/>
                <w:sz w:val="18"/>
                <w:szCs w:val="18"/>
              </w:rPr>
              <w:t>树立文化自信，结合中国科技发展案例融入课程思政。</w:t>
            </w:r>
          </w:p>
        </w:tc>
        <w:tc>
          <w:tcPr>
            <w:tcW w:w="2778" w:type="dxa"/>
          </w:tcPr>
          <w:p w14:paraId="4F6470FA">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课程内容通常分为理论模块与应用模块，涵盖以下主题：</w:t>
            </w:r>
          </w:p>
          <w:p w14:paraId="5C29624E">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1.基础理论</w:t>
            </w:r>
          </w:p>
          <w:p w14:paraId="63537FC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人工智能概述：概念、历史、研究领域与伦理。</w:t>
            </w:r>
          </w:p>
          <w:p w14:paraId="672CA982">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知识表示与推理：一阶谓词逻辑、产生式规则、框架表示、知识图谱。</w:t>
            </w:r>
          </w:p>
          <w:p w14:paraId="1D5FE090">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搜索与优化算法：状态空间搜索、遗传算法、粒子群优化。</w:t>
            </w:r>
          </w:p>
          <w:p w14:paraId="039326C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2.技术方法</w:t>
            </w:r>
          </w:p>
          <w:p w14:paraId="202FC024">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机器学习：监督学习（线性回归、分类器）、无监督学习（聚类算法）。</w:t>
            </w:r>
          </w:p>
          <w:p w14:paraId="787D199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神经网络与深度学习：BP网络、卷积神经网络（CNN）、生成对抗网络（GAN）。</w:t>
            </w:r>
          </w:p>
          <w:p w14:paraId="2B072E1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自然语言处理：语音识别、语义分析、机器翻译。</w:t>
            </w:r>
          </w:p>
          <w:p w14:paraId="2564203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3.应用实践</w:t>
            </w:r>
          </w:p>
          <w:p w14:paraId="4A3CA96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行业应用案例：AI+制造（工艺优化）、AI+医疗（疾病诊断）、AI+教育（个性化推荐）。</w:t>
            </w:r>
          </w:p>
          <w:p w14:paraId="445639D4">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综合项目：智能游戏设计、人脸识别系统、语音交互设备开发。</w:t>
            </w:r>
          </w:p>
        </w:tc>
        <w:tc>
          <w:tcPr>
            <w:tcW w:w="2778" w:type="dxa"/>
          </w:tcPr>
          <w:p w14:paraId="44015534">
            <w:pPr>
              <w:pStyle w:val="6"/>
              <w:keepNext w:val="0"/>
              <w:pageBreakBefore w:val="0"/>
              <w:kinsoku/>
              <w:wordWrap/>
              <w:overflowPunct/>
              <w:topLinePunct w:val="0"/>
              <w:bidi w:val="0"/>
              <w:snapToGrid/>
              <w:spacing w:line="360" w:lineRule="exact"/>
              <w:ind w:hanging="5"/>
              <w:textAlignment w:val="auto"/>
              <w:outlineLvl w:val="3"/>
              <w:rPr>
                <w:rFonts w:ascii="宋体" w:hAnsi="宋体" w:cs="宋体"/>
                <w:b w:val="0"/>
                <w:color w:val="auto"/>
                <w:sz w:val="18"/>
                <w:szCs w:val="18"/>
              </w:rPr>
            </w:pPr>
            <w:r>
              <w:rPr>
                <w:rFonts w:hint="eastAsia" w:ascii="宋体" w:hAnsi="宋体" w:cs="宋体"/>
                <w:b w:val="0"/>
                <w:color w:val="auto"/>
                <w:sz w:val="18"/>
                <w:szCs w:val="18"/>
              </w:rPr>
              <w:t>（1）教学模式</w:t>
            </w:r>
          </w:p>
          <w:p w14:paraId="1559AED4">
            <w:pPr>
              <w:pStyle w:val="6"/>
              <w:keepNext w:val="0"/>
              <w:pageBreakBefore w:val="0"/>
              <w:kinsoku/>
              <w:wordWrap/>
              <w:overflowPunct/>
              <w:topLinePunct w:val="0"/>
              <w:bidi w:val="0"/>
              <w:snapToGrid/>
              <w:spacing w:line="360" w:lineRule="exact"/>
              <w:ind w:hanging="5"/>
              <w:textAlignment w:val="auto"/>
              <w:outlineLvl w:val="3"/>
              <w:rPr>
                <w:rFonts w:ascii="宋体" w:hAnsi="宋体" w:cs="宋体"/>
                <w:b w:val="0"/>
                <w:color w:val="auto"/>
                <w:sz w:val="18"/>
                <w:szCs w:val="18"/>
              </w:rPr>
            </w:pPr>
            <w:r>
              <w:rPr>
                <w:rFonts w:hint="eastAsia" w:ascii="宋体" w:hAnsi="宋体" w:cs="宋体"/>
                <w:b w:val="0"/>
                <w:color w:val="auto"/>
                <w:sz w:val="18"/>
                <w:szCs w:val="18"/>
              </w:rPr>
              <w:t>理论与实践结合：采用“课堂讲授+案例研讨+项目实践”模式，例如通过“红军知识图谱”案例融入思政元素，通过“疫情传播仿真”项目培养实际问题解决能力。</w:t>
            </w:r>
          </w:p>
          <w:p w14:paraId="50B63862">
            <w:pPr>
              <w:pStyle w:val="6"/>
              <w:keepNext w:val="0"/>
              <w:pageBreakBefore w:val="0"/>
              <w:kinsoku/>
              <w:wordWrap/>
              <w:overflowPunct/>
              <w:topLinePunct w:val="0"/>
              <w:bidi w:val="0"/>
              <w:snapToGrid/>
              <w:spacing w:line="360" w:lineRule="exact"/>
              <w:ind w:hanging="5"/>
              <w:textAlignment w:val="auto"/>
              <w:outlineLvl w:val="3"/>
              <w:rPr>
                <w:rFonts w:ascii="宋体" w:hAnsi="宋体" w:cs="宋体"/>
                <w:b w:val="0"/>
                <w:color w:val="auto"/>
                <w:sz w:val="18"/>
                <w:szCs w:val="18"/>
              </w:rPr>
            </w:pPr>
            <w:r>
              <w:rPr>
                <w:rFonts w:hint="eastAsia" w:ascii="宋体" w:hAnsi="宋体" w:cs="宋体"/>
                <w:b w:val="0"/>
                <w:color w:val="auto"/>
                <w:sz w:val="18"/>
                <w:szCs w:val="18"/>
              </w:rPr>
              <w:t>（2）教学条件</w:t>
            </w:r>
          </w:p>
          <w:p w14:paraId="22CE3917">
            <w:pPr>
              <w:pStyle w:val="6"/>
              <w:keepNext w:val="0"/>
              <w:pageBreakBefore w:val="0"/>
              <w:kinsoku/>
              <w:wordWrap/>
              <w:overflowPunct/>
              <w:topLinePunct w:val="0"/>
              <w:bidi w:val="0"/>
              <w:snapToGrid/>
              <w:spacing w:line="360" w:lineRule="exact"/>
              <w:ind w:hanging="5"/>
              <w:textAlignment w:val="auto"/>
              <w:outlineLvl w:val="3"/>
              <w:rPr>
                <w:rFonts w:ascii="宋体" w:hAnsi="宋体" w:cs="宋体"/>
                <w:b w:val="0"/>
                <w:color w:val="auto"/>
                <w:sz w:val="18"/>
                <w:szCs w:val="18"/>
              </w:rPr>
            </w:pPr>
            <w:r>
              <w:rPr>
                <w:rFonts w:hint="eastAsia" w:ascii="宋体" w:hAnsi="宋体" w:cs="宋体"/>
                <w:b w:val="0"/>
                <w:color w:val="auto"/>
                <w:sz w:val="18"/>
                <w:szCs w:val="18"/>
              </w:rPr>
              <w:t>硬件设施：需配备智能实验室（如人形机器人、AI体测系统）及云计算资源。</w:t>
            </w:r>
          </w:p>
          <w:p w14:paraId="6EC2989D">
            <w:pPr>
              <w:pStyle w:val="6"/>
              <w:keepNext w:val="0"/>
              <w:pageBreakBefore w:val="0"/>
              <w:kinsoku/>
              <w:wordWrap/>
              <w:overflowPunct/>
              <w:topLinePunct w:val="0"/>
              <w:bidi w:val="0"/>
              <w:snapToGrid/>
              <w:spacing w:line="360" w:lineRule="exact"/>
              <w:ind w:hanging="5"/>
              <w:textAlignment w:val="auto"/>
              <w:outlineLvl w:val="3"/>
              <w:rPr>
                <w:rFonts w:ascii="宋体" w:hAnsi="宋体" w:cs="宋体"/>
                <w:b w:val="0"/>
                <w:color w:val="auto"/>
                <w:sz w:val="18"/>
                <w:szCs w:val="18"/>
              </w:rPr>
            </w:pPr>
            <w:r>
              <w:rPr>
                <w:rFonts w:hint="eastAsia" w:ascii="宋体" w:hAnsi="宋体" w:cs="宋体"/>
                <w:b w:val="0"/>
                <w:color w:val="auto"/>
                <w:sz w:val="18"/>
                <w:szCs w:val="18"/>
              </w:rPr>
              <w:t>软件工具：常用开发框架（TensorFlow、PyTorch）、云平台接口（百度/讯飞智能云）。</w:t>
            </w:r>
          </w:p>
          <w:p w14:paraId="69BDC58B">
            <w:pPr>
              <w:pStyle w:val="6"/>
              <w:keepNext w:val="0"/>
              <w:pageBreakBefore w:val="0"/>
              <w:kinsoku/>
              <w:wordWrap/>
              <w:overflowPunct/>
              <w:topLinePunct w:val="0"/>
              <w:bidi w:val="0"/>
              <w:snapToGrid/>
              <w:spacing w:line="360" w:lineRule="exact"/>
              <w:ind w:hanging="5"/>
              <w:textAlignment w:val="auto"/>
              <w:outlineLvl w:val="3"/>
              <w:rPr>
                <w:rFonts w:ascii="宋体" w:hAnsi="宋体" w:cs="宋体"/>
                <w:b w:val="0"/>
                <w:color w:val="auto"/>
                <w:sz w:val="18"/>
                <w:szCs w:val="18"/>
              </w:rPr>
            </w:pPr>
            <w:r>
              <w:rPr>
                <w:rFonts w:hint="eastAsia" w:ascii="宋体" w:hAnsi="宋体" w:cs="宋体"/>
                <w:b w:val="0"/>
                <w:color w:val="auto"/>
                <w:sz w:val="18"/>
                <w:szCs w:val="18"/>
              </w:rPr>
              <w:t>（3）教学方法</w:t>
            </w:r>
          </w:p>
          <w:p w14:paraId="37A1AC56">
            <w:pPr>
              <w:pStyle w:val="6"/>
              <w:keepNext w:val="0"/>
              <w:pageBreakBefore w:val="0"/>
              <w:kinsoku/>
              <w:wordWrap/>
              <w:overflowPunct/>
              <w:topLinePunct w:val="0"/>
              <w:bidi w:val="0"/>
              <w:snapToGrid/>
              <w:spacing w:line="360" w:lineRule="exact"/>
              <w:ind w:hanging="5"/>
              <w:textAlignment w:val="auto"/>
              <w:outlineLvl w:val="3"/>
              <w:rPr>
                <w:rFonts w:ascii="宋体" w:hAnsi="宋体" w:cs="宋体"/>
                <w:b w:val="0"/>
                <w:color w:val="auto"/>
                <w:sz w:val="18"/>
                <w:szCs w:val="18"/>
              </w:rPr>
            </w:pPr>
            <w:r>
              <w:rPr>
                <w:rFonts w:hint="eastAsia" w:ascii="宋体" w:hAnsi="宋体" w:cs="宋体"/>
                <w:b w:val="0"/>
                <w:color w:val="auto"/>
                <w:sz w:val="18"/>
                <w:szCs w:val="18"/>
              </w:rPr>
              <w:t>案例驱动教学：通过真实科研项目转化的案例（如“海洋生态系统模拟”）引导学生模仿与创新。</w:t>
            </w:r>
          </w:p>
          <w:p w14:paraId="71338CAB">
            <w:pPr>
              <w:pStyle w:val="6"/>
              <w:keepNext w:val="0"/>
              <w:pageBreakBefore w:val="0"/>
              <w:kinsoku/>
              <w:wordWrap/>
              <w:overflowPunct/>
              <w:topLinePunct w:val="0"/>
              <w:bidi w:val="0"/>
              <w:snapToGrid/>
              <w:spacing w:line="360" w:lineRule="exact"/>
              <w:ind w:hanging="5"/>
              <w:textAlignment w:val="auto"/>
              <w:outlineLvl w:val="3"/>
              <w:rPr>
                <w:rFonts w:ascii="宋体" w:hAnsi="宋体" w:cs="宋体"/>
                <w:b w:val="0"/>
                <w:color w:val="auto"/>
                <w:sz w:val="18"/>
                <w:szCs w:val="18"/>
              </w:rPr>
            </w:pPr>
            <w:r>
              <w:rPr>
                <w:rFonts w:hint="eastAsia" w:ascii="宋体" w:hAnsi="宋体" w:cs="宋体"/>
                <w:b w:val="0"/>
                <w:color w:val="auto"/>
                <w:sz w:val="18"/>
                <w:szCs w:val="18"/>
              </w:rPr>
              <w:t>问题导向学习（PBL）：以实际工程问题（如“自动驾驶路径规划”）为任务，推动自主探究。</w:t>
            </w:r>
          </w:p>
          <w:p w14:paraId="009090D8">
            <w:pPr>
              <w:pStyle w:val="6"/>
              <w:keepNext w:val="0"/>
              <w:pageBreakBefore w:val="0"/>
              <w:kinsoku/>
              <w:wordWrap/>
              <w:overflowPunct/>
              <w:topLinePunct w:val="0"/>
              <w:bidi w:val="0"/>
              <w:snapToGrid/>
              <w:spacing w:line="360" w:lineRule="exact"/>
              <w:ind w:hanging="5"/>
              <w:textAlignment w:val="auto"/>
              <w:outlineLvl w:val="3"/>
              <w:rPr>
                <w:rFonts w:ascii="宋体" w:hAnsi="宋体" w:cs="宋体"/>
                <w:b w:val="0"/>
                <w:color w:val="auto"/>
                <w:sz w:val="18"/>
                <w:szCs w:val="18"/>
              </w:rPr>
            </w:pPr>
            <w:r>
              <w:rPr>
                <w:rFonts w:hint="eastAsia" w:ascii="宋体" w:hAnsi="宋体" w:cs="宋体"/>
                <w:b w:val="0"/>
                <w:color w:val="auto"/>
                <w:sz w:val="18"/>
                <w:szCs w:val="18"/>
              </w:rPr>
              <w:t>（4）教师要求</w:t>
            </w:r>
          </w:p>
          <w:p w14:paraId="1AF1B797">
            <w:pPr>
              <w:pStyle w:val="6"/>
              <w:keepNext w:val="0"/>
              <w:pageBreakBefore w:val="0"/>
              <w:kinsoku/>
              <w:wordWrap/>
              <w:overflowPunct/>
              <w:topLinePunct w:val="0"/>
              <w:bidi w:val="0"/>
              <w:snapToGrid/>
              <w:spacing w:line="360" w:lineRule="exact"/>
              <w:ind w:hanging="5"/>
              <w:textAlignment w:val="auto"/>
              <w:outlineLvl w:val="3"/>
              <w:rPr>
                <w:rFonts w:ascii="宋体" w:hAnsi="宋体" w:cs="宋体"/>
                <w:b w:val="0"/>
                <w:color w:val="auto"/>
                <w:sz w:val="18"/>
                <w:szCs w:val="18"/>
              </w:rPr>
            </w:pPr>
            <w:r>
              <w:rPr>
                <w:rFonts w:hint="eastAsia" w:ascii="宋体" w:hAnsi="宋体" w:cs="宋体"/>
                <w:b w:val="0"/>
                <w:color w:val="auto"/>
                <w:sz w:val="18"/>
                <w:szCs w:val="18"/>
              </w:rPr>
              <w:t>需具备人工智能跨学科知识及项目开发经验，能够将科研转化为教学案例。</w:t>
            </w:r>
          </w:p>
          <w:p w14:paraId="1E7F23D3">
            <w:pPr>
              <w:pStyle w:val="6"/>
              <w:keepNext w:val="0"/>
              <w:pageBreakBefore w:val="0"/>
              <w:kinsoku/>
              <w:wordWrap/>
              <w:overflowPunct/>
              <w:topLinePunct w:val="0"/>
              <w:bidi w:val="0"/>
              <w:snapToGrid/>
              <w:spacing w:line="360" w:lineRule="exact"/>
              <w:ind w:hanging="5"/>
              <w:textAlignment w:val="auto"/>
              <w:outlineLvl w:val="3"/>
              <w:rPr>
                <w:rFonts w:ascii="宋体" w:hAnsi="宋体" w:cs="宋体"/>
                <w:b w:val="0"/>
                <w:color w:val="auto"/>
                <w:sz w:val="18"/>
                <w:szCs w:val="18"/>
              </w:rPr>
            </w:pPr>
            <w:r>
              <w:rPr>
                <w:rFonts w:hint="eastAsia" w:ascii="宋体" w:hAnsi="宋体" w:cs="宋体"/>
                <w:b w:val="0"/>
                <w:color w:val="auto"/>
                <w:sz w:val="18"/>
                <w:szCs w:val="18"/>
              </w:rPr>
              <w:t>掌握课程思政设计能力，例如通过“专家系统”案例讨论科学求真精神。</w:t>
            </w:r>
          </w:p>
          <w:p w14:paraId="00257983">
            <w:pPr>
              <w:pStyle w:val="6"/>
              <w:keepNext w:val="0"/>
              <w:pageBreakBefore w:val="0"/>
              <w:kinsoku/>
              <w:wordWrap/>
              <w:overflowPunct/>
              <w:topLinePunct w:val="0"/>
              <w:bidi w:val="0"/>
              <w:snapToGrid/>
              <w:spacing w:line="360" w:lineRule="exact"/>
              <w:ind w:hanging="5"/>
              <w:textAlignment w:val="auto"/>
              <w:outlineLvl w:val="3"/>
              <w:rPr>
                <w:rFonts w:ascii="宋体" w:hAnsi="宋体" w:cs="宋体"/>
                <w:b w:val="0"/>
                <w:color w:val="auto"/>
                <w:sz w:val="18"/>
                <w:szCs w:val="18"/>
              </w:rPr>
            </w:pPr>
            <w:r>
              <w:rPr>
                <w:rFonts w:hint="eastAsia" w:ascii="宋体" w:hAnsi="宋体" w:cs="宋体"/>
                <w:b w:val="0"/>
                <w:color w:val="auto"/>
                <w:sz w:val="18"/>
                <w:szCs w:val="18"/>
              </w:rPr>
              <w:t>（5）考核方式</w:t>
            </w:r>
          </w:p>
          <w:p w14:paraId="1AF5ECE1">
            <w:pPr>
              <w:pStyle w:val="6"/>
              <w:keepNext w:val="0"/>
              <w:pageBreakBefore w:val="0"/>
              <w:kinsoku/>
              <w:wordWrap/>
              <w:overflowPunct/>
              <w:topLinePunct w:val="0"/>
              <w:bidi w:val="0"/>
              <w:snapToGrid/>
              <w:spacing w:line="360" w:lineRule="exact"/>
              <w:ind w:hanging="5"/>
              <w:textAlignment w:val="auto"/>
              <w:outlineLvl w:val="3"/>
              <w:rPr>
                <w:rFonts w:ascii="宋体" w:hAnsi="宋体" w:cs="宋体"/>
                <w:b w:val="0"/>
                <w:color w:val="auto"/>
                <w:sz w:val="18"/>
                <w:szCs w:val="18"/>
              </w:rPr>
            </w:pPr>
            <w:r>
              <w:rPr>
                <w:rFonts w:hint="eastAsia" w:ascii="宋体" w:hAnsi="宋体" w:cs="宋体"/>
                <w:b w:val="0"/>
                <w:color w:val="auto"/>
                <w:sz w:val="18"/>
                <w:szCs w:val="18"/>
              </w:rPr>
              <w:t>过程性评价（40-50%）：包括课堂互动、实验报告、小组项目（如开发智能推荐系统）。</w:t>
            </w:r>
          </w:p>
          <w:p w14:paraId="688D05FE">
            <w:pPr>
              <w:pStyle w:val="6"/>
              <w:keepNext w:val="0"/>
              <w:pageBreakBefore w:val="0"/>
              <w:kinsoku/>
              <w:wordWrap/>
              <w:overflowPunct/>
              <w:topLinePunct w:val="0"/>
              <w:bidi w:val="0"/>
              <w:snapToGrid/>
              <w:spacing w:line="360" w:lineRule="exact"/>
              <w:ind w:hanging="5"/>
              <w:textAlignment w:val="auto"/>
              <w:outlineLvl w:val="3"/>
              <w:rPr>
                <w:rFonts w:ascii="宋体" w:hAnsi="宋体" w:cs="宋体"/>
                <w:b w:val="0"/>
                <w:color w:val="auto"/>
                <w:sz w:val="18"/>
                <w:szCs w:val="18"/>
              </w:rPr>
            </w:pPr>
            <w:r>
              <w:rPr>
                <w:rFonts w:hint="eastAsia" w:ascii="宋体" w:hAnsi="宋体" w:cs="宋体"/>
                <w:b w:val="0"/>
                <w:color w:val="auto"/>
                <w:sz w:val="18"/>
                <w:szCs w:val="18"/>
              </w:rPr>
              <w:t>终结性评价（50-60%）：采用笔试（理论考核）、论文（技术综述）或实践作品（如AI应用原型）。</w:t>
            </w:r>
          </w:p>
          <w:p w14:paraId="3A9013E3">
            <w:pPr>
              <w:pStyle w:val="6"/>
              <w:keepNext w:val="0"/>
              <w:pageBreakBefore w:val="0"/>
              <w:kinsoku/>
              <w:wordWrap/>
              <w:overflowPunct/>
              <w:topLinePunct w:val="0"/>
              <w:bidi w:val="0"/>
              <w:snapToGrid/>
              <w:spacing w:line="360" w:lineRule="exact"/>
              <w:ind w:hanging="5"/>
              <w:textAlignment w:val="auto"/>
              <w:outlineLvl w:val="3"/>
              <w:rPr>
                <w:rFonts w:ascii="宋体" w:hAnsi="宋体" w:cs="宋体"/>
                <w:b w:val="0"/>
                <w:color w:val="auto"/>
                <w:sz w:val="18"/>
                <w:szCs w:val="18"/>
              </w:rPr>
            </w:pPr>
            <w:r>
              <w:rPr>
                <w:rFonts w:hint="eastAsia" w:ascii="宋体" w:hAnsi="宋体" w:cs="宋体"/>
                <w:b w:val="0"/>
                <w:color w:val="auto"/>
                <w:sz w:val="18"/>
                <w:szCs w:val="18"/>
              </w:rPr>
              <w:t>创新加分：鼓励参与竞赛（如机器人竞赛、编程设计赛）并纳入成绩评定。</w:t>
            </w:r>
          </w:p>
        </w:tc>
      </w:tr>
      <w:tr w14:paraId="1488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D211DA0">
            <w:pPr>
              <w:keepLines/>
              <w:pageBreakBefore w:val="0"/>
              <w:shd w:val="clear" w:color="auto" w:fill="FFFFFF"/>
              <w:kinsoku/>
              <w:wordWrap/>
              <w:overflowPunct/>
              <w:topLinePunct w:val="0"/>
              <w:bidi w:val="0"/>
              <w:snapToGrid/>
              <w:spacing w:line="360" w:lineRule="exact"/>
              <w:jc w:val="center"/>
              <w:textAlignment w:val="auto"/>
              <w:rPr>
                <w:rFonts w:ascii="宋体" w:hAnsi="宋体" w:cs="宋体"/>
                <w:bCs/>
                <w:sz w:val="18"/>
                <w:szCs w:val="18"/>
              </w:rPr>
            </w:pPr>
            <w:r>
              <w:rPr>
                <w:rFonts w:hint="eastAsia" w:ascii="宋体" w:hAnsi="宋体" w:cs="宋体"/>
                <w:b/>
                <w:bCs/>
                <w:sz w:val="18"/>
                <w:szCs w:val="18"/>
              </w:rPr>
              <w:t>国家安全教育</w:t>
            </w:r>
          </w:p>
        </w:tc>
        <w:tc>
          <w:tcPr>
            <w:tcW w:w="2778" w:type="dxa"/>
          </w:tcPr>
          <w:p w14:paraId="1CAECB1C">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（1）了解和掌握国家安全基本知识、总体国家安全观的基本内涵、精神实质、地位作用，理解中华民族命运与国家关系，践行总体国家安全观，建立正确国家安全观念，培育宏观国际视野。</w:t>
            </w:r>
          </w:p>
          <w:p w14:paraId="0FF55B09">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 xml:space="preserve">（2）理解中国特色国家安全体系，树立国家安全底线思维，提高政治站位和个人鉴别能力，将国家安全意识转化为自觉行动，强化责任担当。 </w:t>
            </w:r>
          </w:p>
          <w:p w14:paraId="4D78179D">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（3）了解政治、军事、经济等重要领域安全及深海、极地、太空和生物等新型领域安全的内涵、内容、面临的威胁和挑战、维护各领域国家安全的途径与方法。</w:t>
            </w:r>
          </w:p>
          <w:p w14:paraId="6851A8D4">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（4）掌握国家安全法律法规，熟悉国家安全应变机制，自觉履行维护国家安全责任。</w:t>
            </w:r>
          </w:p>
          <w:p w14:paraId="59183852">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（5）增强大学生的爱国意识、国家安全意识和自我保护能力，在潜移默化中坚定学生理想信念、厚植爱国主义情怀，加强品德修养，增长知识见识，培养奋斗精神，提升学生综合素质。</w:t>
            </w:r>
          </w:p>
          <w:p w14:paraId="2E422E07">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（6）掌握安全防范知识和主动增强安全防范能力，激发大学生树立安全第一的意识，确立正确的安全观。</w:t>
            </w:r>
          </w:p>
        </w:tc>
        <w:tc>
          <w:tcPr>
            <w:tcW w:w="2778" w:type="dxa"/>
          </w:tcPr>
          <w:p w14:paraId="3236E987">
            <w:pPr>
              <w:pStyle w:val="7"/>
              <w:keepLines/>
              <w:pageBreakBefore w:val="0"/>
              <w:kinsoku/>
              <w:wordWrap/>
              <w:overflowPunct/>
              <w:topLinePunct w:val="0"/>
              <w:bidi w:val="0"/>
              <w:snapToGrid/>
              <w:spacing w:line="360" w:lineRule="exact"/>
              <w:jc w:val="both"/>
              <w:textAlignment w:val="auto"/>
              <w:rPr>
                <w:rFonts w:ascii="宋体" w:hAnsi="宋体" w:cs="宋体"/>
                <w:bCs/>
                <w:sz w:val="18"/>
                <w:szCs w:val="18"/>
              </w:rPr>
            </w:pPr>
            <w:r>
              <w:rPr>
                <w:rFonts w:hint="eastAsia" w:ascii="宋体" w:hAnsi="宋体" w:cs="宋体"/>
                <w:bCs/>
                <w:sz w:val="18"/>
                <w:szCs w:val="18"/>
              </w:rPr>
              <w:t>（1）国家安全概念、内涵、重要性，维护国家安全的基本措施，国家安全教育及其内涵，大学生国家安全教育的意义。</w:t>
            </w:r>
          </w:p>
          <w:p w14:paraId="7A191CD6">
            <w:pPr>
              <w:pStyle w:val="7"/>
              <w:keepLines/>
              <w:pageBreakBefore w:val="0"/>
              <w:kinsoku/>
              <w:wordWrap/>
              <w:overflowPunct/>
              <w:topLinePunct w:val="0"/>
              <w:bidi w:val="0"/>
              <w:snapToGrid/>
              <w:spacing w:line="360" w:lineRule="exact"/>
              <w:jc w:val="both"/>
              <w:textAlignment w:val="auto"/>
              <w:rPr>
                <w:rFonts w:ascii="宋体" w:hAnsi="宋体" w:cs="宋体"/>
                <w:bCs/>
                <w:sz w:val="18"/>
                <w:szCs w:val="18"/>
              </w:rPr>
            </w:pPr>
            <w:r>
              <w:rPr>
                <w:rFonts w:hint="eastAsia" w:ascii="宋体" w:hAnsi="宋体" w:cs="宋体"/>
                <w:bCs/>
                <w:sz w:val="18"/>
                <w:szCs w:val="18"/>
              </w:rPr>
              <w:t>（2）我国新时代国家安全的形势与特点，总体国家安全观的形成背景、基本内容、丰富内涵及伟大意义。</w:t>
            </w:r>
          </w:p>
          <w:p w14:paraId="79A639E6">
            <w:pPr>
              <w:pStyle w:val="7"/>
              <w:keepLines/>
              <w:pageBreakBefore w:val="0"/>
              <w:kinsoku/>
              <w:wordWrap/>
              <w:overflowPunct/>
              <w:topLinePunct w:val="0"/>
              <w:bidi w:val="0"/>
              <w:snapToGrid/>
              <w:spacing w:line="360" w:lineRule="exact"/>
              <w:jc w:val="both"/>
              <w:textAlignment w:val="auto"/>
              <w:rPr>
                <w:rFonts w:ascii="宋体" w:hAnsi="宋体" w:cs="宋体"/>
                <w:bCs/>
                <w:sz w:val="18"/>
                <w:szCs w:val="18"/>
              </w:rPr>
            </w:pPr>
            <w:r>
              <w:rPr>
                <w:rFonts w:hint="eastAsia" w:ascii="宋体" w:hAnsi="宋体" w:cs="宋体"/>
                <w:bCs/>
                <w:sz w:val="18"/>
                <w:szCs w:val="18"/>
              </w:rPr>
              <w:t>（3）政治、军事、经济等重要领域安全及深海、极地、太空和生物等新型领域安全的内涵、内容、面临的威胁和挑战、维护各领域国家安全的途径与方法。</w:t>
            </w:r>
          </w:p>
          <w:p w14:paraId="2CBBA8C5">
            <w:pPr>
              <w:pStyle w:val="7"/>
              <w:keepLines/>
              <w:pageBreakBefore w:val="0"/>
              <w:kinsoku/>
              <w:wordWrap/>
              <w:overflowPunct/>
              <w:topLinePunct w:val="0"/>
              <w:bidi w:val="0"/>
              <w:snapToGrid/>
              <w:spacing w:line="360" w:lineRule="exact"/>
              <w:jc w:val="both"/>
              <w:textAlignment w:val="auto"/>
              <w:rPr>
                <w:rFonts w:ascii="宋体" w:hAnsi="宋体" w:cs="宋体"/>
                <w:bCs/>
                <w:sz w:val="18"/>
                <w:szCs w:val="18"/>
              </w:rPr>
            </w:pPr>
            <w:r>
              <w:rPr>
                <w:rFonts w:hint="eastAsia" w:ascii="宋体" w:hAnsi="宋体" w:cs="宋体"/>
                <w:bCs/>
                <w:sz w:val="18"/>
                <w:szCs w:val="18"/>
              </w:rPr>
              <w:t>（4）维护国家安全的制度体系和保障机制。</w:t>
            </w:r>
          </w:p>
          <w:p w14:paraId="1B2854C1">
            <w:pPr>
              <w:pStyle w:val="7"/>
              <w:keepLines/>
              <w:pageBreakBefore w:val="0"/>
              <w:kinsoku/>
              <w:wordWrap/>
              <w:overflowPunct/>
              <w:topLinePunct w:val="0"/>
              <w:bidi w:val="0"/>
              <w:snapToGrid/>
              <w:spacing w:line="360" w:lineRule="exact"/>
              <w:jc w:val="both"/>
              <w:textAlignment w:val="auto"/>
              <w:rPr>
                <w:rFonts w:ascii="宋体" w:hAnsi="宋体" w:cs="宋体"/>
                <w:bCs/>
                <w:sz w:val="18"/>
                <w:szCs w:val="18"/>
              </w:rPr>
            </w:pPr>
            <w:r>
              <w:rPr>
                <w:rFonts w:hint="eastAsia" w:ascii="宋体" w:hAnsi="宋体" w:cs="宋体"/>
                <w:bCs/>
                <w:sz w:val="18"/>
                <w:szCs w:val="18"/>
              </w:rPr>
              <w:t>（5）国家安全法律法规，努力践行总体国家安全观。</w:t>
            </w:r>
          </w:p>
          <w:p w14:paraId="2AD2990C">
            <w:pPr>
              <w:pStyle w:val="7"/>
              <w:keepLines/>
              <w:pageBreakBefore w:val="0"/>
              <w:kinsoku/>
              <w:wordWrap/>
              <w:overflowPunct/>
              <w:topLinePunct w:val="0"/>
              <w:bidi w:val="0"/>
              <w:snapToGrid/>
              <w:spacing w:line="360" w:lineRule="exact"/>
              <w:jc w:val="both"/>
              <w:textAlignment w:val="auto"/>
              <w:rPr>
                <w:rFonts w:ascii="宋体" w:hAnsi="宋体" w:cs="宋体"/>
                <w:sz w:val="18"/>
                <w:szCs w:val="18"/>
              </w:rPr>
            </w:pPr>
            <w:r>
              <w:rPr>
                <w:rFonts w:hint="eastAsia" w:ascii="宋体" w:hAnsi="宋体" w:cs="宋体"/>
                <w:bCs/>
                <w:sz w:val="18"/>
                <w:szCs w:val="18"/>
              </w:rPr>
              <w:t>（6）财产安全、网络安全、消防安全、学习安全、公共卫生安全、社会活动安全、灾害自救安全等安全防护。</w:t>
            </w:r>
          </w:p>
        </w:tc>
        <w:tc>
          <w:tcPr>
            <w:tcW w:w="2778" w:type="dxa"/>
          </w:tcPr>
          <w:p w14:paraId="69B5036D">
            <w:pPr>
              <w:pStyle w:val="6"/>
              <w:keepNext w:val="0"/>
              <w:pageBreakBefore w:val="0"/>
              <w:kinsoku/>
              <w:wordWrap/>
              <w:overflowPunct/>
              <w:topLinePunct w:val="0"/>
              <w:bidi w:val="0"/>
              <w:snapToGrid/>
              <w:spacing w:line="360" w:lineRule="exact"/>
              <w:ind w:firstLine="55"/>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（1）教学模式：合理选用紧靠主题教学的素材与多维立体化资源，注重课程思政设计与渗透，运用信息化教学资源和手段，采取“教学做一体化”教学模式，将课堂教学和课内外实践相结合。</w:t>
            </w:r>
          </w:p>
          <w:p w14:paraId="1468FB04">
            <w:pPr>
              <w:pStyle w:val="6"/>
              <w:keepNext w:val="0"/>
              <w:pageBreakBefore w:val="0"/>
              <w:kinsoku/>
              <w:wordWrap/>
              <w:overflowPunct/>
              <w:topLinePunct w:val="0"/>
              <w:bidi w:val="0"/>
              <w:snapToGrid/>
              <w:spacing w:line="360" w:lineRule="exact"/>
              <w:ind w:firstLine="55"/>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（2）教学条件：多媒体教室和智慧校园平台。</w:t>
            </w:r>
          </w:p>
          <w:p w14:paraId="35A3369D">
            <w:pPr>
              <w:pStyle w:val="6"/>
              <w:keepNext w:val="0"/>
              <w:pageBreakBefore w:val="0"/>
              <w:kinsoku/>
              <w:wordWrap/>
              <w:overflowPunct/>
              <w:topLinePunct w:val="0"/>
              <w:bidi w:val="0"/>
              <w:snapToGrid/>
              <w:spacing w:line="360" w:lineRule="exact"/>
              <w:ind w:firstLine="55"/>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 xml:space="preserve">（3）教学方法：精讲基本概念、深入进行知识解读，运用案例式教学、启发式教学、讨论式教学、主题演讲辩论、情境教学法等多种互动教学方法。 </w:t>
            </w:r>
          </w:p>
          <w:p w14:paraId="06BCB33A">
            <w:pPr>
              <w:pStyle w:val="6"/>
              <w:keepNext w:val="0"/>
              <w:pageBreakBefore w:val="0"/>
              <w:kinsoku/>
              <w:wordWrap/>
              <w:overflowPunct/>
              <w:topLinePunct w:val="0"/>
              <w:bidi w:val="0"/>
              <w:snapToGrid/>
              <w:spacing w:line="360" w:lineRule="exact"/>
              <w:ind w:firstLine="55"/>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（4）教师要求：政治立场坚定，要关注时政要闻及国家安全动态，及时把最新的文件精神融入教学内容。</w:t>
            </w:r>
          </w:p>
          <w:p w14:paraId="0CC224ED">
            <w:pPr>
              <w:pStyle w:val="6"/>
              <w:keepNext w:val="0"/>
              <w:pageBreakBefore w:val="0"/>
              <w:kinsoku/>
              <w:wordWrap/>
              <w:overflowPunct/>
              <w:topLinePunct w:val="0"/>
              <w:bidi w:val="0"/>
              <w:snapToGrid/>
              <w:spacing w:line="360" w:lineRule="exact"/>
              <w:ind w:firstLine="55"/>
              <w:textAlignment w:val="auto"/>
              <w:outlineLvl w:val="3"/>
              <w:rPr>
                <w:rFonts w:ascii="宋体" w:hAnsi="宋体" w:cs="宋体"/>
                <w:b w:val="0"/>
                <w:color w:val="auto"/>
                <w:sz w:val="18"/>
                <w:szCs w:val="18"/>
              </w:rPr>
            </w:pPr>
            <w:r>
              <w:rPr>
                <w:rFonts w:hint="eastAsia" w:ascii="宋体" w:hAnsi="宋体" w:cs="宋体"/>
                <w:b w:val="0"/>
                <w:bCs/>
                <w:color w:val="auto"/>
                <w:sz w:val="18"/>
                <w:szCs w:val="18"/>
              </w:rPr>
              <w:t>（5）考核方式：采取过程考核（30%）+期末测评（70%）评定学习效果。</w:t>
            </w:r>
          </w:p>
        </w:tc>
      </w:tr>
      <w:tr w14:paraId="4ABE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shd w:val="clear" w:color="auto" w:fill="auto"/>
            <w:vAlign w:val="center"/>
          </w:tcPr>
          <w:p w14:paraId="341D123C">
            <w:pPr>
              <w:keepLines/>
              <w:pageBreakBefore w:val="0"/>
              <w:shd w:val="clear" w:color="auto" w:fill="FFFFFF"/>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大学语文</w:t>
            </w:r>
          </w:p>
          <w:p w14:paraId="637B8239">
            <w:pPr>
              <w:keepLines/>
              <w:pageBreakBefore w:val="0"/>
              <w:shd w:val="clear" w:color="auto" w:fill="FFFFFF"/>
              <w:kinsoku/>
              <w:wordWrap/>
              <w:overflowPunct/>
              <w:topLinePunct w:val="0"/>
              <w:bidi w:val="0"/>
              <w:snapToGrid/>
              <w:spacing w:line="360" w:lineRule="exact"/>
              <w:jc w:val="center"/>
              <w:textAlignment w:val="auto"/>
              <w:rPr>
                <w:rFonts w:ascii="宋体" w:hAnsi="宋体" w:cs="宋体"/>
                <w:bCs/>
                <w:sz w:val="18"/>
                <w:szCs w:val="18"/>
              </w:rPr>
            </w:pPr>
          </w:p>
        </w:tc>
        <w:tc>
          <w:tcPr>
            <w:tcW w:w="2778" w:type="dxa"/>
            <w:shd w:val="clear" w:color="auto" w:fill="auto"/>
          </w:tcPr>
          <w:p w14:paraId="0A11679A">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（1）在中学阶段语文学习的基础上，进一步提高学生正确理解和运用语言文字的能力。</w:t>
            </w:r>
          </w:p>
          <w:p w14:paraId="31E5D81B">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（2）通过分析文学作品的思想内容和写作手法等，提高学生阅读理解能力和文学鉴赏能力，进而塑造高尚的人文精神，涵育完善的人文品格。</w:t>
            </w:r>
          </w:p>
          <w:p w14:paraId="030536DC">
            <w:pPr>
              <w:pStyle w:val="6"/>
              <w:keepNext w:val="0"/>
              <w:pageBreakBefore w:val="0"/>
              <w:kinsoku/>
              <w:wordWrap/>
              <w:overflowPunct/>
              <w:topLinePunct w:val="0"/>
              <w:bidi w:val="0"/>
              <w:snapToGrid/>
              <w:spacing w:line="360" w:lineRule="exact"/>
              <w:textAlignment w:val="auto"/>
              <w:outlineLvl w:val="3"/>
              <w:rPr>
                <w:rFonts w:ascii="宋体" w:hAnsi="宋体" w:cs="宋体"/>
                <w:bCs/>
                <w:color w:val="auto"/>
                <w:sz w:val="18"/>
                <w:szCs w:val="18"/>
              </w:rPr>
            </w:pPr>
            <w:r>
              <w:rPr>
                <w:rFonts w:hint="eastAsia" w:ascii="宋体" w:hAnsi="宋体" w:cs="宋体"/>
                <w:b w:val="0"/>
                <w:bCs/>
                <w:color w:val="auto"/>
                <w:sz w:val="18"/>
                <w:szCs w:val="18"/>
              </w:rPr>
              <w:t>（3）使学生学会熟练运用语文基础知识进行日常的写作，对学生进行创新思维、口才表达等能力进行系统的指导和训练，使其能够准确有效运用语言进行沟通，致力于职场发展。</w:t>
            </w:r>
          </w:p>
        </w:tc>
        <w:tc>
          <w:tcPr>
            <w:tcW w:w="2778" w:type="dxa"/>
            <w:shd w:val="clear" w:color="auto" w:fill="auto"/>
          </w:tcPr>
          <w:p w14:paraId="176146AD">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上篇 阅读欣赏能力培养</w:t>
            </w:r>
          </w:p>
          <w:p w14:paraId="6F3EF2CE">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 xml:space="preserve">（1）诗歌及其作品赏析 </w:t>
            </w:r>
          </w:p>
          <w:p w14:paraId="5AC0C9E5">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 xml:space="preserve">（2）小说及其作品赏析 </w:t>
            </w:r>
          </w:p>
          <w:p w14:paraId="4E57E829">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 xml:space="preserve">（3）散文及其作品赏析  </w:t>
            </w:r>
          </w:p>
          <w:p w14:paraId="1B528BEA">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 xml:space="preserve">（4）戏剧及其作品赏析  </w:t>
            </w:r>
          </w:p>
          <w:p w14:paraId="13368E71">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中篇 应用文写作</w:t>
            </w:r>
          </w:p>
          <w:p w14:paraId="458815B9">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 xml:space="preserve">（1）日常文书  </w:t>
            </w:r>
          </w:p>
          <w:p w14:paraId="79570F33">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（2）事务文书</w:t>
            </w:r>
          </w:p>
          <w:p w14:paraId="76678BE8">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（3）公务文书</w:t>
            </w:r>
          </w:p>
          <w:p w14:paraId="3E8C5B7C">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下篇 沟通表达</w:t>
            </w:r>
          </w:p>
          <w:p w14:paraId="05538775">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 xml:space="preserve">（1）普通话基础训练 </w:t>
            </w:r>
          </w:p>
          <w:p w14:paraId="3E005FC4">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 xml:space="preserve">（2）日常沟通 </w:t>
            </w:r>
          </w:p>
          <w:p w14:paraId="4EDDDE44">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 xml:space="preserve">（3）面试口才  </w:t>
            </w:r>
          </w:p>
          <w:p w14:paraId="3C4CD555">
            <w:pPr>
              <w:pStyle w:val="6"/>
              <w:keepNext w:val="0"/>
              <w:pageBreakBefore w:val="0"/>
              <w:kinsoku/>
              <w:wordWrap/>
              <w:overflowPunct/>
              <w:topLinePunct w:val="0"/>
              <w:bidi w:val="0"/>
              <w:snapToGrid/>
              <w:spacing w:line="360" w:lineRule="exact"/>
              <w:textAlignment w:val="auto"/>
              <w:outlineLvl w:val="3"/>
              <w:rPr>
                <w:rFonts w:ascii="宋体" w:hAnsi="宋体" w:cs="宋体"/>
                <w:bCs/>
                <w:color w:val="auto"/>
                <w:sz w:val="18"/>
                <w:szCs w:val="18"/>
              </w:rPr>
            </w:pPr>
            <w:r>
              <w:rPr>
                <w:rFonts w:hint="eastAsia" w:ascii="宋体" w:hAnsi="宋体" w:cs="宋体"/>
                <w:b w:val="0"/>
                <w:bCs/>
                <w:color w:val="auto"/>
                <w:sz w:val="18"/>
                <w:szCs w:val="18"/>
              </w:rPr>
              <w:t>（4）竞聘演讲</w:t>
            </w:r>
          </w:p>
        </w:tc>
        <w:tc>
          <w:tcPr>
            <w:tcW w:w="2778" w:type="dxa"/>
            <w:shd w:val="clear" w:color="auto" w:fill="auto"/>
          </w:tcPr>
          <w:p w14:paraId="196658C2">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1）教学模式：在工具性与人文性的结合中，实现知识、技能、态度三位一体，将语文学习、语文实践和语文能力培养合一，将单篇教学和专题教学相结合，提高学生阅读能力、欣赏能力、写作能力、口语交际能力以及发现问题、解决问题的能力，培养高尚的审美情趣。</w:t>
            </w:r>
          </w:p>
          <w:p w14:paraId="5196C829">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（2）教学条件：多媒体教室、智慧校园平台等。</w:t>
            </w:r>
          </w:p>
          <w:p w14:paraId="45ABF1DE">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（3）教学方法：主要采用讲授法、启发法、讨论法、提问法、角色扮演法、表演法等多种教学方法。</w:t>
            </w:r>
          </w:p>
          <w:p w14:paraId="7BC7190D">
            <w:pPr>
              <w:pStyle w:val="6"/>
              <w:keepNext w:val="0"/>
              <w:pageBreakBefore w:val="0"/>
              <w:kinsoku/>
              <w:wordWrap/>
              <w:overflowPunct/>
              <w:topLinePunct w:val="0"/>
              <w:bidi w:val="0"/>
              <w:snapToGrid/>
              <w:spacing w:line="360" w:lineRule="exact"/>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（4）教师要求：结合网络教学资源平台、信息化教学平台等，实行课内课外双线并行教学，课堂教学中注重师生互动、生生互动，调动学生充分参与到课堂中来。</w:t>
            </w:r>
          </w:p>
          <w:p w14:paraId="0C4AECD3">
            <w:pPr>
              <w:pStyle w:val="6"/>
              <w:keepNext w:val="0"/>
              <w:pageBreakBefore w:val="0"/>
              <w:kinsoku/>
              <w:wordWrap/>
              <w:overflowPunct/>
              <w:topLinePunct w:val="0"/>
              <w:bidi w:val="0"/>
              <w:snapToGrid/>
              <w:spacing w:line="360" w:lineRule="exact"/>
              <w:textAlignment w:val="auto"/>
              <w:outlineLvl w:val="3"/>
              <w:rPr>
                <w:rFonts w:ascii="宋体" w:hAnsi="宋体" w:cs="宋体"/>
                <w:color w:val="auto"/>
                <w:sz w:val="18"/>
                <w:szCs w:val="18"/>
              </w:rPr>
            </w:pPr>
            <w:r>
              <w:rPr>
                <w:rFonts w:hint="eastAsia" w:ascii="宋体" w:hAnsi="宋体" w:cs="宋体"/>
                <w:b w:val="0"/>
                <w:bCs/>
                <w:color w:val="auto"/>
                <w:sz w:val="18"/>
                <w:szCs w:val="18"/>
              </w:rPr>
              <w:t>（5）考核方式：采取过程考核（30%）+期末测评（70%）评定学习效果。</w:t>
            </w:r>
          </w:p>
        </w:tc>
      </w:tr>
      <w:tr w14:paraId="0AC7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52AF53BE">
            <w:pPr>
              <w:keepLines/>
              <w:pageBreakBefore w:val="0"/>
              <w:shd w:val="clear" w:color="auto" w:fill="FFFFFF"/>
              <w:kinsoku/>
              <w:wordWrap/>
              <w:overflowPunct/>
              <w:topLinePunct w:val="0"/>
              <w:bidi w:val="0"/>
              <w:snapToGrid/>
              <w:spacing w:line="360" w:lineRule="exact"/>
              <w:jc w:val="center"/>
              <w:textAlignment w:val="auto"/>
              <w:rPr>
                <w:rFonts w:ascii="宋体" w:hAnsi="宋体" w:cs="宋体"/>
                <w:bCs/>
                <w:sz w:val="18"/>
                <w:szCs w:val="18"/>
              </w:rPr>
            </w:pPr>
            <w:r>
              <w:rPr>
                <w:rFonts w:hint="eastAsia" w:ascii="宋体" w:hAnsi="宋体" w:cs="宋体"/>
                <w:b/>
                <w:bCs/>
                <w:sz w:val="18"/>
                <w:szCs w:val="18"/>
              </w:rPr>
              <w:t>艺术类课程</w:t>
            </w:r>
          </w:p>
        </w:tc>
        <w:tc>
          <w:tcPr>
            <w:tcW w:w="2778" w:type="dxa"/>
          </w:tcPr>
          <w:p w14:paraId="3539F259">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（1）引导学生以社会主义核心价值观为学习内容，树立正确人生观、价值观。</w:t>
            </w:r>
          </w:p>
          <w:p w14:paraId="3B789A37">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（2）引导大学生系统地了解艺术范畴、指导学生进行艺术欣赏。</w:t>
            </w:r>
          </w:p>
          <w:p w14:paraId="4E01C1C2">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（3）通过艺术类课程鉴赏、学习相关理论，使学生树立正确的审美观念，培养高雅的审美品位，提高人文素养。</w:t>
            </w:r>
          </w:p>
          <w:p w14:paraId="547F2CD4">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（4）了解、吸纳中外优秀艺术成果，理解并尊重多元文化。</w:t>
            </w:r>
          </w:p>
          <w:p w14:paraId="3754F1B9">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（5）拓展形象思维，培养创作精神和实践能力，提高艺术审美与鉴赏能力。</w:t>
            </w:r>
          </w:p>
          <w:p w14:paraId="649EEC42">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（6）每个非艺术类专业学生在开设的8门课程中至少选修1门课程。</w:t>
            </w:r>
          </w:p>
          <w:p w14:paraId="47EF971F">
            <w:pPr>
              <w:keepLines/>
              <w:pageBreakBefore w:val="0"/>
              <w:widowControl/>
              <w:kinsoku/>
              <w:wordWrap/>
              <w:overflowPunct/>
              <w:topLinePunct w:val="0"/>
              <w:bidi w:val="0"/>
              <w:adjustRightInd w:val="0"/>
              <w:snapToGrid/>
              <w:spacing w:line="360" w:lineRule="exact"/>
              <w:textAlignment w:val="auto"/>
              <w:rPr>
                <w:rFonts w:ascii="宋体" w:hAnsi="宋体" w:cs="宋体"/>
                <w:bCs/>
                <w:sz w:val="18"/>
                <w:szCs w:val="18"/>
              </w:rPr>
            </w:pPr>
          </w:p>
        </w:tc>
        <w:tc>
          <w:tcPr>
            <w:tcW w:w="2778" w:type="dxa"/>
          </w:tcPr>
          <w:p w14:paraId="425E4078">
            <w:pPr>
              <w:keepLines/>
              <w:pageBreakBefore w:val="0"/>
              <w:widowControl/>
              <w:kinsoku/>
              <w:wordWrap/>
              <w:overflowPunct/>
              <w:topLinePunct w:val="0"/>
              <w:bidi w:val="0"/>
              <w:snapToGrid/>
              <w:spacing w:line="360" w:lineRule="exact"/>
              <w:ind w:firstLine="55"/>
              <w:textAlignment w:val="auto"/>
              <w:rPr>
                <w:rFonts w:ascii="宋体" w:hAnsi="宋体" w:cs="宋体"/>
                <w:sz w:val="18"/>
                <w:szCs w:val="18"/>
              </w:rPr>
            </w:pPr>
            <w:r>
              <w:rPr>
                <w:rFonts w:hint="eastAsia" w:ascii="宋体" w:hAnsi="宋体" w:cs="宋体"/>
                <w:sz w:val="18"/>
                <w:szCs w:val="18"/>
              </w:rPr>
              <w:t>（1）《美术鉴赏》课程主要涵盖中外艺术史脉络、经典流派与代表作品分析，解析绘画、雕塑、建筑等艺术形式的技法特征与创作背景。通过理论与实践结合，培养学生视觉审美能力与批判思维，掌握艺术语言解读方法，探讨作品的文化内涵、时代精神及社会价值，提升学生人文素养与跨文化理解力。</w:t>
            </w:r>
          </w:p>
          <w:p w14:paraId="4967AB97">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（2）《音乐鉴赏》课程</w:t>
            </w:r>
            <w:r>
              <w:rPr>
                <w:rFonts w:hint="eastAsia" w:ascii="宋体" w:hAnsi="宋体" w:cs="宋体"/>
                <w:sz w:val="18"/>
                <w:szCs w:val="18"/>
              </w:rPr>
              <w:t>旨在帮助学生掌握音乐基本构成与记录方式，了解声乐、器乐体裁，以及古典、浪漫等风格特点。讲述西方音乐从中世纪到现代的发展历程，以及中国音乐从古代到近现代的演变，介绍各时期代表作曲家与作品。并通过对经典作品赏析，结合现场表演欣赏，提升学生音乐感知与鉴赏能力，激发学生热爱生活、热爱自然的情感。</w:t>
            </w:r>
          </w:p>
          <w:p w14:paraId="40CD7D61">
            <w:pPr>
              <w:keepLines/>
              <w:pageBreakBefore w:val="0"/>
              <w:widowControl/>
              <w:kinsoku/>
              <w:wordWrap/>
              <w:overflowPunct/>
              <w:topLinePunct w:val="0"/>
              <w:bidi w:val="0"/>
              <w:snapToGrid/>
              <w:spacing w:line="360" w:lineRule="exact"/>
              <w:ind w:firstLine="55"/>
              <w:textAlignment w:val="auto"/>
              <w:rPr>
                <w:rFonts w:ascii="宋体" w:hAnsi="宋体" w:cs="宋体"/>
                <w:sz w:val="18"/>
                <w:szCs w:val="18"/>
              </w:rPr>
            </w:pPr>
            <w:r>
              <w:rPr>
                <w:rFonts w:hint="eastAsia" w:ascii="宋体" w:hAnsi="宋体" w:cs="宋体"/>
                <w:bCs/>
                <w:sz w:val="18"/>
                <w:szCs w:val="18"/>
              </w:rPr>
              <w:t>（3）《影视鉴赏》课程</w:t>
            </w:r>
            <w:r>
              <w:rPr>
                <w:rFonts w:hint="eastAsia" w:ascii="宋体" w:hAnsi="宋体" w:cs="宋体"/>
                <w:sz w:val="18"/>
                <w:szCs w:val="18"/>
              </w:rPr>
              <w:t>注重影视内容的赏析，引导学生熟悉影视艺术的发展历史，掌握影视艺术的基本语言，领略不同国家、不同时代影视艺术佳作的魅力，提高学生人文素养，最终形成学生健康、多元、开放的审美情趣。</w:t>
            </w:r>
          </w:p>
          <w:p w14:paraId="34AC5FC2">
            <w:pPr>
              <w:keepLines/>
              <w:pageBreakBefore w:val="0"/>
              <w:widowControl/>
              <w:kinsoku/>
              <w:wordWrap/>
              <w:overflowPunct/>
              <w:topLinePunct w:val="0"/>
              <w:bidi w:val="0"/>
              <w:snapToGrid/>
              <w:spacing w:line="360" w:lineRule="exact"/>
              <w:ind w:firstLine="55"/>
              <w:textAlignment w:val="auto"/>
              <w:rPr>
                <w:rFonts w:ascii="宋体" w:hAnsi="宋体" w:cs="宋体"/>
                <w:sz w:val="18"/>
                <w:szCs w:val="18"/>
              </w:rPr>
            </w:pPr>
            <w:r>
              <w:rPr>
                <w:rFonts w:hint="eastAsia" w:ascii="宋体" w:hAnsi="宋体" w:cs="宋体"/>
                <w:sz w:val="18"/>
                <w:szCs w:val="18"/>
              </w:rPr>
              <w:t>（4）《戏剧鉴赏》课程介绍和欣赏国内外戏剧作品，主要围绕戏剧理论、戏剧文学、表演艺术、舞台美术以及实践鉴赏等方面展开，旨在培养学生对戏剧艺术的全面理解和鉴赏能力，使学生了解有关常识，懂得如何欣赏戏剧。</w:t>
            </w:r>
          </w:p>
          <w:p w14:paraId="0AA6A67C">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sz w:val="18"/>
                <w:szCs w:val="18"/>
              </w:rPr>
              <w:t>（5）《舞蹈鉴赏》课</w:t>
            </w:r>
            <w:r>
              <w:rPr>
                <w:rFonts w:hint="eastAsia" w:ascii="宋体" w:hAnsi="宋体" w:cs="宋体"/>
                <w:bCs/>
                <w:sz w:val="18"/>
                <w:szCs w:val="18"/>
              </w:rPr>
              <w:t>程主要围绕舞蹈理论知识、舞蹈历史文化、舞蹈表现要素以及具体的鉴赏实践展开，旨在培养学生对舞蹈艺术的感知、理解和评价能力。并通过欣赏分析中外优秀舞蹈作品，使学生了解各国及民族的历史文化民族风情，理解尊重多元文化。</w:t>
            </w:r>
          </w:p>
          <w:p w14:paraId="66F8394F">
            <w:pPr>
              <w:keepLines/>
              <w:pageBreakBefore w:val="0"/>
              <w:widowControl/>
              <w:kinsoku/>
              <w:wordWrap/>
              <w:overflowPunct/>
              <w:topLinePunct w:val="0"/>
              <w:bidi w:val="0"/>
              <w:snapToGrid/>
              <w:spacing w:line="360" w:lineRule="exact"/>
              <w:ind w:firstLine="55"/>
              <w:textAlignment w:val="auto"/>
              <w:rPr>
                <w:rFonts w:ascii="宋体" w:hAnsi="宋体" w:cs="宋体"/>
                <w:sz w:val="18"/>
                <w:szCs w:val="18"/>
                <w:shd w:val="clear" w:color="auto" w:fill="F7F2EB"/>
              </w:rPr>
            </w:pPr>
            <w:r>
              <w:rPr>
                <w:rFonts w:hint="eastAsia" w:ascii="宋体" w:hAnsi="宋体" w:cs="宋体"/>
                <w:bCs/>
                <w:sz w:val="18"/>
                <w:szCs w:val="18"/>
              </w:rPr>
              <w:t>（6）《书法鉴赏》</w:t>
            </w:r>
            <w:r>
              <w:rPr>
                <w:rFonts w:hint="eastAsia" w:ascii="宋体" w:hAnsi="宋体" w:cs="宋体"/>
                <w:sz w:val="18"/>
                <w:szCs w:val="18"/>
              </w:rPr>
              <w:t>课程系统梳理中国书法发展史及历代名家流派，解析篆隶楷行草等书体技法特征与经典作品，结合理论与实践培养鉴赏能力，深入探讨笔法、章法、墨法及文化内涵、时代精神，提升学生审美素养与传统文化理解力。</w:t>
            </w:r>
          </w:p>
          <w:p w14:paraId="05960653">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（7）《艺术导论》课程</w:t>
            </w:r>
            <w:r>
              <w:rPr>
                <w:rFonts w:hint="eastAsia" w:ascii="宋体" w:hAnsi="宋体" w:cs="宋体"/>
                <w:sz w:val="18"/>
                <w:szCs w:val="18"/>
              </w:rPr>
              <w:t>是一门涵盖广泛的学科，作为一门综合性艺术基础课程，旨在为学生搭建一个全面认识艺术的平台，使其对艺术的本质、发展历程、主要门类及审美特征等有初步的理解和把握。通过学习艺术导论，学生将能够了解艺术的发展历程、不同艺术形式的特点以及艺术对社会和文化的影响。</w:t>
            </w:r>
          </w:p>
          <w:p w14:paraId="2B1D968A">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8）《钧瓷鉴赏》课程全面解析中国钧窑历史脉络，重点聚焦宋代钧瓷的工艺成就与艺术特征。系统讲授窑变釉色形成原理、蚯蚓走泥纹等独特肌理鉴别方法，剖析天青、月白、玫瑰紫等经典釉色体系。通过实物标本与文献结合，掌握器型演变、胎土特征、支钉烧制工艺等断代依据，深入解读钧瓷在传统文化中的地位及其美学价值，培养学生从工艺技术、艺术表现到历史考据的多维度鉴赏能力。</w:t>
            </w:r>
          </w:p>
        </w:tc>
        <w:tc>
          <w:tcPr>
            <w:tcW w:w="2778" w:type="dxa"/>
          </w:tcPr>
          <w:p w14:paraId="16D876DB">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（1）教学模式：按照专业注重个性化指导，注重教学时效性、针对性。合理选用教学素材与多维立体化资源，采取“教学做一体”的教学模式。</w:t>
            </w:r>
          </w:p>
          <w:p w14:paraId="5B0BE274">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（2）教学条件：多媒体教室、教材与参考书籍、校内艺术展示区域、在线艺术资源平台和艺术活动组织与指导。</w:t>
            </w:r>
          </w:p>
          <w:p w14:paraId="2115F39E">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（3）教学方法：讲授法、演示法、实践教学法、讨论式教学法、多媒体与网络教学法等多种互动教学方法进行。</w:t>
            </w:r>
          </w:p>
          <w:p w14:paraId="22FCFE33">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（4）教师要求：任课教师要有扎实的艺术专业知识，运用多样化的教学方法，因材施教，及时关注艺术前沿，把最新的艺术资讯融入教学内容。</w:t>
            </w:r>
          </w:p>
          <w:p w14:paraId="2A342511">
            <w:pPr>
              <w:keepLines/>
              <w:pageBreakBefore w:val="0"/>
              <w:widowControl/>
              <w:kinsoku/>
              <w:wordWrap/>
              <w:overflowPunct/>
              <w:topLinePunct w:val="0"/>
              <w:bidi w:val="0"/>
              <w:snapToGrid/>
              <w:spacing w:line="360" w:lineRule="exact"/>
              <w:ind w:firstLine="55"/>
              <w:textAlignment w:val="auto"/>
              <w:rPr>
                <w:rFonts w:ascii="宋体" w:hAnsi="宋体" w:cs="宋体"/>
                <w:bCs/>
                <w:sz w:val="18"/>
                <w:szCs w:val="18"/>
              </w:rPr>
            </w:pPr>
            <w:r>
              <w:rPr>
                <w:rFonts w:hint="eastAsia" w:ascii="宋体" w:hAnsi="宋体" w:cs="宋体"/>
                <w:bCs/>
                <w:sz w:val="18"/>
                <w:szCs w:val="18"/>
              </w:rPr>
              <w:t>（5）评价建议：采取学习过程性与终结性考核相结合评定学习效果。</w:t>
            </w:r>
          </w:p>
        </w:tc>
      </w:tr>
    </w:tbl>
    <w:p w14:paraId="14ADCD04">
      <w:pPr>
        <w:pageBreakBefore w:val="0"/>
        <w:kinsoku/>
        <w:wordWrap/>
        <w:overflowPunct/>
        <w:topLinePunct w:val="0"/>
        <w:bidi w:val="0"/>
        <w:snapToGrid/>
        <w:spacing w:line="360" w:lineRule="exact"/>
        <w:textAlignment w:val="auto"/>
        <w:rPr>
          <w:rFonts w:ascii="宋体" w:hAnsi="宋体" w:cs="宋体"/>
          <w:color w:val="FF0000"/>
          <w:szCs w:val="21"/>
        </w:rPr>
      </w:pPr>
      <w:r>
        <w:rPr>
          <w:rFonts w:hint="eastAsia" w:ascii="宋体" w:hAnsi="宋体" w:cs="宋体"/>
          <w:b/>
          <w:szCs w:val="21"/>
        </w:rPr>
        <w:t>（二）专业课程</w:t>
      </w:r>
    </w:p>
    <w:p w14:paraId="3EEC11FD">
      <w:pPr>
        <w:pageBreakBefore w:val="0"/>
        <w:kinsoku/>
        <w:wordWrap/>
        <w:overflowPunct/>
        <w:topLinePunct w:val="0"/>
        <w:bidi w:val="0"/>
        <w:snapToGrid/>
        <w:spacing w:line="360" w:lineRule="exact"/>
        <w:ind w:firstLine="422" w:firstLineChars="200"/>
        <w:jc w:val="left"/>
        <w:textAlignment w:val="auto"/>
        <w:rPr>
          <w:rFonts w:ascii="宋体" w:hAnsi="宋体" w:cs="宋体"/>
          <w:szCs w:val="21"/>
        </w:rPr>
      </w:pPr>
      <w:r>
        <w:rPr>
          <w:rFonts w:hint="eastAsia" w:ascii="宋体" w:hAnsi="宋体" w:cs="宋体"/>
          <w:b/>
          <w:bCs/>
          <w:szCs w:val="21"/>
        </w:rPr>
        <w:t>1.专业基础课程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2700"/>
        <w:gridCol w:w="2750"/>
        <w:gridCol w:w="2646"/>
      </w:tblGrid>
      <w:tr w14:paraId="171B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14:paraId="5A8FA725">
            <w:pPr>
              <w:pageBreakBefore w:val="0"/>
              <w:kinsoku/>
              <w:wordWrap/>
              <w:overflowPunct/>
              <w:topLinePunct w:val="0"/>
              <w:bidi w:val="0"/>
              <w:snapToGrid/>
              <w:spacing w:line="360" w:lineRule="exact"/>
              <w:jc w:val="center"/>
              <w:textAlignment w:val="auto"/>
              <w:rPr>
                <w:rFonts w:ascii="宋体" w:hAnsi="宋体" w:cs="宋体"/>
                <w:b/>
                <w:sz w:val="21"/>
                <w:szCs w:val="21"/>
              </w:rPr>
            </w:pPr>
            <w:r>
              <w:rPr>
                <w:rFonts w:hint="eastAsia" w:ascii="宋体" w:hAnsi="宋体" w:cs="宋体"/>
                <w:b/>
                <w:sz w:val="21"/>
                <w:szCs w:val="21"/>
              </w:rPr>
              <w:t>课程名称</w:t>
            </w:r>
          </w:p>
        </w:tc>
        <w:tc>
          <w:tcPr>
            <w:tcW w:w="2700" w:type="dxa"/>
            <w:vAlign w:val="center"/>
          </w:tcPr>
          <w:p w14:paraId="3F79B28B">
            <w:pPr>
              <w:pageBreakBefore w:val="0"/>
              <w:kinsoku/>
              <w:wordWrap/>
              <w:overflowPunct/>
              <w:topLinePunct w:val="0"/>
              <w:bidi w:val="0"/>
              <w:snapToGrid/>
              <w:spacing w:line="360" w:lineRule="exact"/>
              <w:jc w:val="center"/>
              <w:textAlignment w:val="auto"/>
              <w:rPr>
                <w:rFonts w:ascii="宋体" w:hAnsi="宋体" w:cs="宋体"/>
                <w:b/>
                <w:sz w:val="21"/>
                <w:szCs w:val="21"/>
              </w:rPr>
            </w:pPr>
            <w:r>
              <w:rPr>
                <w:rFonts w:hint="eastAsia" w:ascii="宋体" w:hAnsi="宋体" w:cs="宋体"/>
                <w:b/>
                <w:sz w:val="21"/>
                <w:szCs w:val="21"/>
              </w:rPr>
              <w:t>课程目标</w:t>
            </w:r>
          </w:p>
        </w:tc>
        <w:tc>
          <w:tcPr>
            <w:tcW w:w="2750" w:type="dxa"/>
            <w:vAlign w:val="center"/>
          </w:tcPr>
          <w:p w14:paraId="22D7FB2A">
            <w:pPr>
              <w:pageBreakBefore w:val="0"/>
              <w:kinsoku/>
              <w:wordWrap/>
              <w:overflowPunct/>
              <w:topLinePunct w:val="0"/>
              <w:bidi w:val="0"/>
              <w:snapToGrid/>
              <w:spacing w:line="360" w:lineRule="exact"/>
              <w:jc w:val="center"/>
              <w:textAlignment w:val="auto"/>
              <w:rPr>
                <w:rFonts w:ascii="宋体" w:hAnsi="宋体" w:cs="宋体"/>
                <w:b/>
                <w:sz w:val="21"/>
                <w:szCs w:val="21"/>
              </w:rPr>
            </w:pPr>
            <w:r>
              <w:rPr>
                <w:rFonts w:hint="eastAsia" w:ascii="宋体" w:hAnsi="宋体" w:cs="宋体"/>
                <w:b/>
                <w:sz w:val="21"/>
                <w:szCs w:val="21"/>
              </w:rPr>
              <w:t>主要内容</w:t>
            </w:r>
          </w:p>
        </w:tc>
        <w:tc>
          <w:tcPr>
            <w:tcW w:w="2646" w:type="dxa"/>
            <w:vAlign w:val="center"/>
          </w:tcPr>
          <w:p w14:paraId="123F1562">
            <w:pPr>
              <w:pageBreakBefore w:val="0"/>
              <w:kinsoku/>
              <w:wordWrap/>
              <w:overflowPunct/>
              <w:topLinePunct w:val="0"/>
              <w:bidi w:val="0"/>
              <w:snapToGrid/>
              <w:spacing w:line="360" w:lineRule="exact"/>
              <w:jc w:val="center"/>
              <w:textAlignment w:val="auto"/>
              <w:rPr>
                <w:rFonts w:ascii="宋体" w:hAnsi="宋体" w:cs="宋体"/>
                <w:b/>
                <w:sz w:val="21"/>
                <w:szCs w:val="21"/>
              </w:rPr>
            </w:pPr>
            <w:r>
              <w:rPr>
                <w:rFonts w:hint="eastAsia" w:ascii="宋体" w:hAnsi="宋体" w:cs="宋体"/>
                <w:b/>
                <w:sz w:val="21"/>
                <w:szCs w:val="21"/>
              </w:rPr>
              <w:t>教学要求</w:t>
            </w:r>
          </w:p>
        </w:tc>
      </w:tr>
      <w:tr w14:paraId="799A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jc w:val="center"/>
        </w:trPr>
        <w:tc>
          <w:tcPr>
            <w:tcW w:w="1190" w:type="dxa"/>
            <w:vAlign w:val="center"/>
          </w:tcPr>
          <w:p w14:paraId="37AA3022">
            <w:pPr>
              <w:pStyle w:val="6"/>
              <w:keepNext w:val="0"/>
              <w:keepLines w:val="0"/>
              <w:pageBreakBefore w:val="0"/>
              <w:kinsoku/>
              <w:wordWrap/>
              <w:overflowPunct/>
              <w:topLinePunct w:val="0"/>
              <w:bidi w:val="0"/>
              <w:adjustRightInd w:val="0"/>
              <w:snapToGrid/>
              <w:spacing w:line="360" w:lineRule="exact"/>
              <w:jc w:val="center"/>
              <w:textAlignment w:val="auto"/>
              <w:outlineLvl w:val="3"/>
              <w:rPr>
                <w:rFonts w:ascii="宋体" w:hAnsi="宋体" w:cs="宋体"/>
                <w:b/>
                <w:bCs/>
                <w:sz w:val="18"/>
                <w:szCs w:val="18"/>
              </w:rPr>
            </w:pPr>
            <w:r>
              <w:rPr>
                <w:rFonts w:hint="eastAsia" w:ascii="宋体" w:hAnsi="宋体" w:cs="宋体"/>
                <w:b/>
                <w:bCs/>
                <w:color w:val="auto"/>
                <w:sz w:val="18"/>
                <w:szCs w:val="18"/>
              </w:rPr>
              <w:t>老龄事业与产业发展</w:t>
            </w:r>
          </w:p>
        </w:tc>
        <w:tc>
          <w:tcPr>
            <w:tcW w:w="2700" w:type="dxa"/>
          </w:tcPr>
          <w:p w14:paraId="7E825D3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知识目标：</w:t>
            </w:r>
          </w:p>
          <w:p w14:paraId="2B0CF50A">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掌握老龄事业的定义、特点、发展历程及重要意义，了解老龄事业在社会发展中的地位和作用。了解老龄产业的市场规模、产业结构、产业链条及主要业务领域。掌握相关政策文件的精神和要点，为未来的工作实践提供政策指导。</w:t>
            </w:r>
          </w:p>
          <w:p w14:paraId="3E322AC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能力目标：</w:t>
            </w:r>
          </w:p>
          <w:p w14:paraId="2CF0695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培养学生分析老龄事业与产业发展现状、问题及挑战的能力，能够运用所学知识对实际问题进行剖析，并提出解决方案。通过案例分析、模拟实训等方式，提高学生的实践操作能力，使其能够在老龄事业和产业领域从事相关工作时，具备实际操作和解决问题的能力。激发学生的创新思维，鼓励其在老龄事业与产业发展中探索新的服务模式、技术手段和管理方法，推动行业的创新发展。</w:t>
            </w:r>
          </w:p>
          <w:p w14:paraId="61F9FAD8">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素质目标：</w:t>
            </w:r>
          </w:p>
          <w:p w14:paraId="003EC728">
            <w:pPr>
              <w:pageBreakBefore w:val="0"/>
              <w:kinsoku/>
              <w:wordWrap/>
              <w:overflowPunct/>
              <w:topLinePunct w:val="0"/>
              <w:bidi w:val="0"/>
              <w:adjustRightInd w:val="0"/>
              <w:snapToGrid/>
              <w:spacing w:line="360" w:lineRule="exact"/>
              <w:textAlignment w:val="auto"/>
              <w:rPr>
                <w:rFonts w:ascii="宋体" w:hAnsi="宋体" w:cs="宋体"/>
                <w:bCs/>
                <w:color w:val="548DD4"/>
                <w:sz w:val="18"/>
                <w:szCs w:val="18"/>
              </w:rPr>
            </w:pPr>
            <w:r>
              <w:rPr>
                <w:rFonts w:hint="eastAsia" w:ascii="宋体" w:hAnsi="宋体" w:cs="宋体"/>
                <w:bCs/>
                <w:sz w:val="18"/>
                <w:szCs w:val="18"/>
              </w:rPr>
              <w:t>培养学生具备良好的职业道德、职业操守和职业精神，树立为老服务的理念和意识，能够在工作中关爱老年人、尊重老年人，为老年人提供优质的服务。通过团队合作项目等方式，提高学生的团队协作能力，使其能够在团队中发挥自己的优势，与团队成员共同完成任务，实现团队目标。</w:t>
            </w:r>
          </w:p>
        </w:tc>
        <w:tc>
          <w:tcPr>
            <w:tcW w:w="2750" w:type="dxa"/>
          </w:tcPr>
          <w:p w14:paraId="4A57C904">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模块一：老龄化的全球视角与中国现状：介绍全球老龄化现象的普遍性与差异性。分析老龄化对经济增长、劳动力市场、消费结构、医疗保障等方面的多维度影响。</w:t>
            </w:r>
          </w:p>
          <w:p w14:paraId="2257006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模块二：中老龄事业的政策体系与制度建设：分析中国现行的养老保障“三支柱”体系（基本养老保险、企业年金、个人储蓄性养老保险），以及近年来在养老服务、医疗照护等方面的政策创新。</w:t>
            </w:r>
          </w:p>
          <w:p w14:paraId="1AC57CD9">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模块三：养老服务体系建设与运营：详细介绍居家养老、社区养老、机构养老等多种养老服务类型，及其各自的优缺点和适用范围。</w:t>
            </w:r>
          </w:p>
          <w:p w14:paraId="795E89C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模块四：老龄产业的市场机遇与投资策略：分析老年人群体的消费特点与需求变化，探讨其对老龄产业发展的影响。</w:t>
            </w:r>
          </w:p>
          <w:p w14:paraId="2F1D6E8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模块五：科技赋能与老龄产业的创新发展：介绍人工智能、大数据、物联网等技术在养老服务中的应用案例，如智能穿戴设备、远程医疗、智能安防等。</w:t>
            </w:r>
          </w:p>
        </w:tc>
        <w:tc>
          <w:tcPr>
            <w:tcW w:w="2646" w:type="dxa"/>
          </w:tcPr>
          <w:p w14:paraId="7E7AAE86">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模式：理论与实践一体化：选取具有代表性的老龄事业与产业发展案例，引导学生进行深入分析。通过案例讨论，培养学生的问题分析能力、批判性思维和解决实际问题的能力。案例分析可以促进学生将理论知识与实践相结合，加深对课程内容的理解。情境模拟教学：设置模拟实训环节，让学生在模拟的工作环境中进行实践操作。例如，可以模拟养老服务方案设计、老龄产业市场调研等场景，让学生在模拟环境中进行角色扮演和实际操作。模拟实训可以提高学生的实践能力和团队协作能力，为未来的工作做好准备。小组合作学习：通过小组讨论、案例分析、角色扮演等方式，促进学生之间的互动交流，提高团队协作和问题解决能力。</w:t>
            </w:r>
          </w:p>
          <w:p w14:paraId="25469106">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教学方法：采用讲授、讨论、案例分析、模拟实训等多种教学方法相结合，激发学生的学习兴趣和积极性。</w:t>
            </w:r>
          </w:p>
          <w:p w14:paraId="387925CE">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教学条件：现代化实训基地：配备齐全的智慧健康养老设备。</w:t>
            </w:r>
          </w:p>
          <w:p w14:paraId="089C07D6">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评价建议：多元化评价体系：结合平时成绩、技能操作考核、理论考试、小组项目、临床实习表现、自我评价和同伴评价等，全面评价学生的学习成效。过程性评价：强调学习过程中的持续评价，及时反馈学生的学习进展，鼓励自我反思和持续改进。</w:t>
            </w:r>
          </w:p>
        </w:tc>
      </w:tr>
      <w:tr w14:paraId="7398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14:paraId="2B71C112">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eastAsia="宋体" w:cs="宋体"/>
                <w:b/>
                <w:bCs/>
                <w:color w:val="auto"/>
                <w:kern w:val="2"/>
                <w:sz w:val="18"/>
                <w:szCs w:val="18"/>
                <w:lang w:val="en-US" w:eastAsia="zh-CN" w:bidi="ar-SA"/>
              </w:rPr>
              <w:t>康养政策法规与标准</w:t>
            </w:r>
          </w:p>
        </w:tc>
        <w:tc>
          <w:tcPr>
            <w:tcW w:w="2700" w:type="dxa"/>
          </w:tcPr>
          <w:p w14:paraId="081899F0">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知识目标：</w:t>
            </w:r>
          </w:p>
          <w:p w14:paraId="1858BF5D">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学生能够清晰界定康养产业政策法规的内涵、外延及其在法律体系中的地位和作用。</w:t>
            </w:r>
          </w:p>
          <w:p w14:paraId="047F66E6">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能力目标：</w:t>
            </w:r>
          </w:p>
          <w:p w14:paraId="3DD13722">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通过选取具有代表性的康养政策法规与标准案例，引导学生进行深入分析，培养其解决实际问题的能力。</w:t>
            </w:r>
          </w:p>
          <w:p w14:paraId="60F79E5E">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素质目标：</w:t>
            </w:r>
          </w:p>
          <w:p w14:paraId="178C084A">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通过团队合作项目等方式，提高学生的团队协作能力，使其能够在团队中发挥自己的优势，与团队成员共同完成任务，实现团队目标。</w:t>
            </w:r>
          </w:p>
        </w:tc>
        <w:tc>
          <w:tcPr>
            <w:tcW w:w="2750" w:type="dxa"/>
          </w:tcPr>
          <w:p w14:paraId="65B3462B">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模块一：康养产业政策法规体系</w:t>
            </w:r>
          </w:p>
          <w:p w14:paraId="7C35013A">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模块二：康养产业标准制定与执行机制</w:t>
            </w:r>
          </w:p>
          <w:p w14:paraId="40325E25">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模块三：《康养政策法规与标准》课程目标</w:t>
            </w:r>
          </w:p>
          <w:p w14:paraId="5B429BE1">
            <w:pPr>
              <w:pageBreakBefore w:val="0"/>
              <w:kinsoku/>
              <w:wordWrap/>
              <w:overflowPunct/>
              <w:topLinePunct w:val="0"/>
              <w:bidi w:val="0"/>
              <w:adjustRightInd w:val="0"/>
              <w:snapToGrid/>
              <w:spacing w:line="360" w:lineRule="exact"/>
              <w:textAlignment w:val="auto"/>
              <w:rPr>
                <w:rFonts w:ascii="宋体" w:hAnsi="宋体" w:cs="宋体"/>
                <w:bCs/>
                <w:sz w:val="18"/>
                <w:szCs w:val="18"/>
              </w:rPr>
            </w:pPr>
          </w:p>
        </w:tc>
        <w:tc>
          <w:tcPr>
            <w:tcW w:w="2646" w:type="dxa"/>
          </w:tcPr>
          <w:p w14:paraId="30089CCD">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教学模式：理论与实践一体化：结合理论授课与临床实习，确保学生能在理解理论的基础上进行实践操作，增强知识应用能力。</w:t>
            </w:r>
          </w:p>
          <w:p w14:paraId="7513C68C">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教学方法：采用讲授、讨论、案例分析、模拟实训等多种教学方法相结合，激发学生的学习兴趣和积极性。</w:t>
            </w:r>
          </w:p>
          <w:p w14:paraId="4AE63038">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教学条件：现代化实训基地：配备齐全的智慧健康养老设备。</w:t>
            </w:r>
          </w:p>
          <w:p w14:paraId="763EB548">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评价建议：多元化评价体系：结合平时成绩、技能操作考核、理论考试、小组项目、临床实习表现、自我评价和同伴评价等，全面评价学生的学习成效。过程性评价：强调学习过程中的持续评价，及时反馈学生的学习进展，鼓励自我反思和持续改进。</w:t>
            </w:r>
          </w:p>
        </w:tc>
      </w:tr>
      <w:tr w14:paraId="639C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14:paraId="3A94B9FC">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老年学概论</w:t>
            </w:r>
          </w:p>
        </w:tc>
        <w:tc>
          <w:tcPr>
            <w:tcW w:w="2700" w:type="dxa"/>
          </w:tcPr>
          <w:p w14:paraId="11ACDCC2">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知识目标：</w:t>
            </w:r>
          </w:p>
          <w:p w14:paraId="6986AC40">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掌握老年服务的基本概念、服务内容、需求评估和服务计划，以及服务的实施和管理方法。</w:t>
            </w:r>
          </w:p>
          <w:p w14:paraId="02BAD00D">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能力目标：</w:t>
            </w:r>
          </w:p>
          <w:p w14:paraId="5CDDC165">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通过课程学习，提高学生的分析问题和解决问题的能力，培养他们的创新思维和实践能力。</w:t>
            </w:r>
          </w:p>
          <w:p w14:paraId="6953977E">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素质目标：</w:t>
            </w:r>
          </w:p>
          <w:p w14:paraId="06268EF9">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培养学生具备良好的职业道德、职业操守和职业精神，树立为老服务的理念和意识，能够在工作中关爱老年人、尊重老年人，为老年人提供优质的服务。</w:t>
            </w:r>
          </w:p>
        </w:tc>
        <w:tc>
          <w:tcPr>
            <w:tcW w:w="2750" w:type="dxa"/>
          </w:tcPr>
          <w:p w14:paraId="5FEE4884">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模块一：老年学学科概述</w:t>
            </w:r>
          </w:p>
          <w:p w14:paraId="2FEF5B81">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模块二：老年学理论及研究方法</w:t>
            </w:r>
          </w:p>
          <w:p w14:paraId="04C53DD4">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模块三：老年人的生理变化和特点</w:t>
            </w:r>
          </w:p>
          <w:p w14:paraId="7C700BCA">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模块四：老年人的心理变化和特点</w:t>
            </w:r>
          </w:p>
          <w:p w14:paraId="37C839B6">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模块五：老年人的社会角色和地位</w:t>
            </w:r>
          </w:p>
          <w:p w14:paraId="5A1A194D">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模块六：老年人的文化需求和文化活动</w:t>
            </w:r>
          </w:p>
          <w:p w14:paraId="19853BC9">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模块七：老年服务与管理</w:t>
            </w:r>
          </w:p>
          <w:p w14:paraId="68CD90A9">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模块八：人口老龄化的趋势与挑战</w:t>
            </w:r>
          </w:p>
        </w:tc>
        <w:tc>
          <w:tcPr>
            <w:tcW w:w="2646" w:type="dxa"/>
          </w:tcPr>
          <w:p w14:paraId="7AB80BCF">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教学模式：理论与实践一体化：结合理论授课与临床实习，确保学生能在理解理论的基础上进行实践操作，增强知识应用能力。</w:t>
            </w:r>
          </w:p>
          <w:p w14:paraId="3E7A26FA">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教学方法：采用讲授、讨论、案例分析、模拟实训等多种教学方法相结合，激发学生的学习兴趣和积极性。</w:t>
            </w:r>
          </w:p>
          <w:p w14:paraId="79404DBF">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教学条件：现代化实训基地：配备齐全的智慧健康养老设备。</w:t>
            </w:r>
          </w:p>
          <w:p w14:paraId="78F5059B">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评价建议：多元化评价体系：结合平时成绩、技能操作考核、理论考试、小组项目、临床实习表现、自我评价和同伴评价等，全面评价学生的学习成效。过程性评价：强调学习过程中的持续评价，及时反馈学生的学习进展，鼓励自我反思和持续改进。</w:t>
            </w:r>
          </w:p>
        </w:tc>
      </w:tr>
      <w:tr w14:paraId="5061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14:paraId="420139C1">
            <w:pPr>
              <w:pageBreakBefore w:val="0"/>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老年服务礼仪与沟通</w:t>
            </w:r>
          </w:p>
        </w:tc>
        <w:tc>
          <w:tcPr>
            <w:tcW w:w="2700" w:type="dxa"/>
          </w:tcPr>
          <w:p w14:paraId="7755FFC9">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知识目标：</w:t>
            </w:r>
          </w:p>
          <w:p w14:paraId="218EE580">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掌握掌握老年服务中的礼仪规范和言行方式。 掌握与老年人沟通的基本原则和技巧</w:t>
            </w:r>
          </w:p>
          <w:p w14:paraId="51BD2C82">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能力目标：</w:t>
            </w:r>
          </w:p>
          <w:p w14:paraId="16649E17">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培养学生具备良好的职业形象和职业素养，能够在老年服务中展现出专业性和亲和力。提升学生的应变能力，能够在不同情境下灵活运用礼仪和沟通技巧。</w:t>
            </w:r>
          </w:p>
          <w:p w14:paraId="70E9DFFC">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素质目标：</w:t>
            </w:r>
          </w:p>
          <w:p w14:paraId="71BA1FD9">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培养学生关心、尊重和倾听老年人的意识和能力，树立尊老敬老的社会风尚。 增强学生的职业认同感和责任感，使其在未来的工作中能够尽心尽力地为老年人服务。</w:t>
            </w:r>
          </w:p>
        </w:tc>
        <w:tc>
          <w:tcPr>
            <w:tcW w:w="2750" w:type="dxa"/>
          </w:tcPr>
          <w:p w14:paraId="3CCAF8C6">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模块一：老年服务礼仪与沟通原理</w:t>
            </w:r>
          </w:p>
          <w:p w14:paraId="666E88BD">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模块二：老年服务从业人员个人形象塑造</w:t>
            </w:r>
          </w:p>
          <w:p w14:paraId="0BE41CE0">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模块三：老年服务从业人员人际交往礼仪</w:t>
            </w:r>
          </w:p>
          <w:p w14:paraId="2D2FEA91">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模块四：介绍居家生活照护礼仪、社区服务照护礼仪、养老机构照护礼仪等，使学生了解在不同服务场景中的礼仪要求。</w:t>
            </w:r>
          </w:p>
          <w:p w14:paraId="651BACC2">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模块五：老年商业服务礼仪</w:t>
            </w:r>
          </w:p>
          <w:p w14:paraId="65F8DD62">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模块六：老年服务的沟通原则与技巧</w:t>
            </w:r>
          </w:p>
          <w:p w14:paraId="6CA6929F">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模块七：老年人照护沟通</w:t>
            </w:r>
          </w:p>
          <w:p w14:paraId="5598F222">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模块八：老年服务工作团队的沟通</w:t>
            </w:r>
          </w:p>
        </w:tc>
        <w:tc>
          <w:tcPr>
            <w:tcW w:w="2646" w:type="dxa"/>
          </w:tcPr>
          <w:p w14:paraId="1DFB8579">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教学模式：理论与实践一体化：结合理论授课与临床实习，确保学生能在理解理论的基础上进行实践操作，增强知识应用能力。</w:t>
            </w:r>
          </w:p>
          <w:p w14:paraId="0499DA86">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教学方法：采用讲授、讨论、案例分析、模拟实训等多种教学方法相结合，激发学生的学习兴趣和积极性。</w:t>
            </w:r>
          </w:p>
          <w:p w14:paraId="4F9139AD">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教学条件：现代化实训基地：配备齐全的智慧健康养老设备。</w:t>
            </w:r>
          </w:p>
          <w:p w14:paraId="6F29744B">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评价建议：多元化评价体系：结合平时成绩、技能操作考核、理论考试、小组项目、临床实习表现、自我评价和同伴评价等，全面评价学生的学习成效。过程性评价：强调学习过程中的持续评价，及时反馈学生的学习进展，鼓励自我反思和持续改进。</w:t>
            </w:r>
          </w:p>
        </w:tc>
      </w:tr>
      <w:tr w14:paraId="4552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14:paraId="399D60FE">
            <w:pPr>
              <w:keepLines/>
              <w:pageBreakBefore w:val="0"/>
              <w:widowControl/>
              <w:kinsoku/>
              <w:wordWrap/>
              <w:overflowPunct/>
              <w:topLinePunct w:val="0"/>
              <w:bidi w:val="0"/>
              <w:snapToGrid/>
              <w:spacing w:line="360" w:lineRule="exact"/>
              <w:ind w:firstLine="55"/>
              <w:jc w:val="center"/>
              <w:textAlignment w:val="auto"/>
              <w:rPr>
                <w:rFonts w:ascii="宋体" w:hAnsi="宋体" w:cs="宋体"/>
                <w:b/>
                <w:bCs/>
                <w:sz w:val="18"/>
                <w:szCs w:val="18"/>
              </w:rPr>
            </w:pPr>
            <w:r>
              <w:rPr>
                <w:rFonts w:hint="eastAsia" w:ascii="宋体" w:hAnsi="宋体" w:cs="宋体"/>
                <w:b/>
                <w:bCs/>
                <w:sz w:val="18"/>
                <w:szCs w:val="18"/>
              </w:rPr>
              <w:t>正常人体结构与功能</w:t>
            </w:r>
          </w:p>
        </w:tc>
        <w:tc>
          <w:tcPr>
            <w:tcW w:w="2700" w:type="dxa"/>
          </w:tcPr>
          <w:p w14:paraId="34A0C55A">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知识目标：</w:t>
            </w:r>
          </w:p>
          <w:p w14:paraId="52A65DAF">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掌握正常人体结构和功能的基本理论和基本概念，包括细胞、组织、器官和系统的基本构成与功能。掌握人体各系统器官的位置、形态、结构特点及其主要功能，理解这些器官在人体整体功能中的作用。</w:t>
            </w:r>
          </w:p>
          <w:p w14:paraId="4140ACDD">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能力目标：</w:t>
            </w:r>
          </w:p>
          <w:p w14:paraId="2B5A415D">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具备对人体各重要器官形态结构、位置及毗邻的辨认能力，以及在显微镜下对基本组织进行观察识别的能力。</w:t>
            </w:r>
          </w:p>
          <w:p w14:paraId="5F86358B">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素质目标：</w:t>
            </w:r>
          </w:p>
          <w:p w14:paraId="422BB1C9">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使学生树立辩证唯物主义世界观，用实事求是的科学态度观察和分析问题，提高分析问题和解决问题的能力。</w:t>
            </w:r>
          </w:p>
        </w:tc>
        <w:tc>
          <w:tcPr>
            <w:tcW w:w="2750" w:type="dxa"/>
          </w:tcPr>
          <w:p w14:paraId="415E0084">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模块一：绪论</w:t>
            </w:r>
          </w:p>
          <w:p w14:paraId="77246D07">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模块二：细胞与基本组织</w:t>
            </w:r>
          </w:p>
          <w:p w14:paraId="7677FBCC">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模块三：血液</w:t>
            </w:r>
          </w:p>
          <w:p w14:paraId="51521B8B">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模块四：运动系统</w:t>
            </w:r>
          </w:p>
          <w:p w14:paraId="6BBFE3E4">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模块五：消化系统</w:t>
            </w:r>
          </w:p>
          <w:p w14:paraId="0C3A6F59">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模块六：新陈代谢</w:t>
            </w:r>
          </w:p>
          <w:p w14:paraId="08542A1C">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模块七：呼吸系统</w:t>
            </w:r>
          </w:p>
          <w:p w14:paraId="11D31C0F">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模块八：泌尿系统</w:t>
            </w:r>
          </w:p>
          <w:p w14:paraId="61B242F6">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模块九：脉管系统</w:t>
            </w:r>
          </w:p>
          <w:p w14:paraId="26753771">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模块十：感觉器</w:t>
            </w:r>
          </w:p>
          <w:p w14:paraId="5569B0DB">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模块十一：生命活动的调节</w:t>
            </w:r>
          </w:p>
          <w:p w14:paraId="1C4D59E7">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模块十二：生殖和胚胎学概要</w:t>
            </w:r>
          </w:p>
        </w:tc>
        <w:tc>
          <w:tcPr>
            <w:tcW w:w="2646" w:type="dxa"/>
          </w:tcPr>
          <w:p w14:paraId="5C0B9F57">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教学模式：理论与实践一体化：结合理论授课与临床实习，确保学生能在理解理论的基础上进行实践操作，增强知识应用能力。</w:t>
            </w:r>
          </w:p>
          <w:p w14:paraId="1C69F584">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教学方法：采用讲授、讨论、案例分析、模拟实训等多种教学方法相结合，激发学生的学习兴趣和积极性。</w:t>
            </w:r>
          </w:p>
          <w:p w14:paraId="294D1F98">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教学条件：现代化实训基地：配备齐全的智慧健康养老设备。</w:t>
            </w:r>
          </w:p>
          <w:p w14:paraId="762EDD56">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评价建议：多元化评价体系：结合平时成绩、技能操作考核、理论考试、小组项目、临床实习表现、自我评价和同伴评价等，全面评价学生的学习成效。过程性评价：强调学习过程中的持续评价，及时反馈学生的学习进展，鼓励自我反思和持续改进。</w:t>
            </w:r>
          </w:p>
        </w:tc>
      </w:tr>
      <w:tr w14:paraId="1422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14:paraId="2F1FDEA9">
            <w:pPr>
              <w:keepLines/>
              <w:pageBreakBefore w:val="0"/>
              <w:widowControl/>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健康养老职业素养与安全</w:t>
            </w:r>
          </w:p>
        </w:tc>
        <w:tc>
          <w:tcPr>
            <w:tcW w:w="2700" w:type="dxa"/>
          </w:tcPr>
          <w:p w14:paraId="6AC3BB73">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知识目标：</w:t>
            </w:r>
          </w:p>
          <w:p w14:paraId="2842B7C4">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掌握老年人日常生活和照护过程中可能遇到的安全隐患及预防措施。了解相关法律法规，确保在服务过程中遵守法律法规，保障老年人的合法权益。</w:t>
            </w:r>
          </w:p>
          <w:p w14:paraId="7E2151C4">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能力目标：</w:t>
            </w:r>
          </w:p>
          <w:p w14:paraId="3658055B">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培养学生的安全意识和应急处理能力，确保在紧急情况下能够迅速、有效地采取行动。</w:t>
            </w:r>
          </w:p>
          <w:p w14:paraId="1C515380">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素质目标：</w:t>
            </w:r>
          </w:p>
          <w:p w14:paraId="6C10EB7B">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培养学生的职业责任感、敬业精神和团队合作精神。提升学生的沟通能力和服务意识，以便更好地与老年人及其家属互动。</w:t>
            </w:r>
          </w:p>
        </w:tc>
        <w:tc>
          <w:tcPr>
            <w:tcW w:w="2750" w:type="dxa"/>
          </w:tcPr>
          <w:p w14:paraId="1A1D2EA5">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模块一：健康养老行业概述：健康养老行业的定义、发展历程和现状。</w:t>
            </w:r>
          </w:p>
          <w:p w14:paraId="4C645941">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模块二：职业素养与职业道德：健康养老行业的职业道德规范；</w:t>
            </w:r>
          </w:p>
          <w:p w14:paraId="1FAF96AC">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模块三：老年人日常照护与安全：老年人日常照护中的注意事项。</w:t>
            </w:r>
          </w:p>
          <w:p w14:paraId="4981526F">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模块四：应急处理与自救互救：老年人常见突发疾病的应急处理。</w:t>
            </w:r>
          </w:p>
          <w:p w14:paraId="38D538B8">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模块五：法律法规与权益保障：服务人员如何遵守法律法规，保障老年人权益。</w:t>
            </w:r>
          </w:p>
          <w:p w14:paraId="541208A7">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模块六：实践操作与技能提升： 养老服务技能实训（如喂食、穿衣、洗漱等）。</w:t>
            </w:r>
          </w:p>
          <w:p w14:paraId="09553788">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模块七：案例分析与讨论：典型养老服务案例分析。</w:t>
            </w:r>
          </w:p>
          <w:p w14:paraId="54B4D30C">
            <w:pPr>
              <w:pageBreakBefore w:val="0"/>
              <w:kinsoku/>
              <w:wordWrap/>
              <w:overflowPunct/>
              <w:topLinePunct w:val="0"/>
              <w:bidi w:val="0"/>
              <w:adjustRightInd w:val="0"/>
              <w:snapToGrid/>
              <w:spacing w:line="360" w:lineRule="exact"/>
              <w:textAlignment w:val="auto"/>
              <w:rPr>
                <w:rFonts w:ascii="宋体" w:hAnsi="宋体" w:cs="宋体"/>
                <w:bCs/>
                <w:sz w:val="18"/>
                <w:szCs w:val="18"/>
              </w:rPr>
            </w:pPr>
          </w:p>
        </w:tc>
        <w:tc>
          <w:tcPr>
            <w:tcW w:w="2646" w:type="dxa"/>
          </w:tcPr>
          <w:p w14:paraId="5B80E590">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教学模式：理论与实践一体化：结合理论授课与临床实习，确保学生能在理解理论的基础上进行实践操作，增强知识应用能力。</w:t>
            </w:r>
          </w:p>
          <w:p w14:paraId="5FD888BB">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教学方法：采用讲授、讨论、案例分析、模拟实训等多种教学方法相结合，激发学生的学习兴趣和积极性。</w:t>
            </w:r>
          </w:p>
          <w:p w14:paraId="4A8231D2">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教学条件：现代化实训基地：配备齐全的智慧健康养老设备。</w:t>
            </w:r>
          </w:p>
          <w:p w14:paraId="49F45AFE">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评价建议：多元化评价体系：结合平时成绩、技能操作考核、理论考试、小组项目、临床实习表现、自我评价和同伴评价等，全面评价学生的学习成效。过程性评价：强调学习过程中的持续评价，及时反馈学生的学习进展，鼓励自我反思和持续改进。</w:t>
            </w:r>
          </w:p>
        </w:tc>
      </w:tr>
      <w:tr w14:paraId="4937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14:paraId="6742912D">
            <w:pPr>
              <w:keepLines/>
              <w:pageBreakBefore w:val="0"/>
              <w:widowControl/>
              <w:kinsoku/>
              <w:wordWrap/>
              <w:overflowPunct/>
              <w:topLinePunct w:val="0"/>
              <w:bidi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健康养老大数据应用</w:t>
            </w:r>
          </w:p>
        </w:tc>
        <w:tc>
          <w:tcPr>
            <w:tcW w:w="2700" w:type="dxa"/>
          </w:tcPr>
          <w:p w14:paraId="58A9CB5F">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知识目标：</w:t>
            </w:r>
          </w:p>
          <w:p w14:paraId="7C05D2A4">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使学生深入理解大数据的基本概念、原理及其在健康养老领域的应用价值，掌握大数据分析的基本理论和方法。</w:t>
            </w:r>
          </w:p>
          <w:p w14:paraId="67CCEF2A">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能力目标：</w:t>
            </w:r>
          </w:p>
          <w:p w14:paraId="7D861950">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激发学生的创新思维，鼓励学生在健康养老大数据应用领域进行探索和创新，提出新的应用思路和解决方案。</w:t>
            </w:r>
          </w:p>
          <w:p w14:paraId="682678B5">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素质目标：</w:t>
            </w:r>
          </w:p>
          <w:p w14:paraId="68ED154E">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培养学生的职业道德、安全意识和法律意识，使其在利用大数据进行健康养老服务时能够遵守相关规范和标准，保障数据安全和隐私。</w:t>
            </w:r>
          </w:p>
        </w:tc>
        <w:tc>
          <w:tcPr>
            <w:tcW w:w="2750" w:type="dxa"/>
          </w:tcPr>
          <w:p w14:paraId="262B8F52">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模块一：大数据基础与健康养老概述：大数据在健康养老领域的应用前景与挑战。</w:t>
            </w:r>
          </w:p>
          <w:p w14:paraId="20860AEC">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模块二：健康养老数据来源与采集：健康养老数据的种类和来源。</w:t>
            </w:r>
          </w:p>
          <w:p w14:paraId="15E7069A">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模块三：健康养老数据清洗与整合：重复数据、错误数据和异常数据的识别与处理。</w:t>
            </w:r>
          </w:p>
          <w:p w14:paraId="3493B672">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模块四：健康养老数据分析技术：数据挖掘与统计分析方法。</w:t>
            </w:r>
          </w:p>
          <w:p w14:paraId="6153851F">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模块五：健康养老大数据应用场景：养老资源优化配置与智慧养老服务开发。</w:t>
            </w:r>
          </w:p>
          <w:p w14:paraId="705B1EDA">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模块六：数据安全与隐私保护：数据安全的重要性与风险防控。</w:t>
            </w:r>
          </w:p>
          <w:p w14:paraId="51709C1E">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模块七：案例分析与实践操作：实际操作环节：数据收集、清洗、分析与报告撰写。</w:t>
            </w:r>
          </w:p>
        </w:tc>
        <w:tc>
          <w:tcPr>
            <w:tcW w:w="2646" w:type="dxa"/>
          </w:tcPr>
          <w:p w14:paraId="179C350C">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教学模式：理论与实践一体化：结合理论授课与临床实习，确保学生能在理解理论的基础上进行实践操作，增强知识应用能力。</w:t>
            </w:r>
          </w:p>
          <w:p w14:paraId="025485A9">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教学方法：采用讲授、讨论、案例分析、模拟实训等多种教学方法相结合，激发学生的学习兴趣和积极性。</w:t>
            </w:r>
          </w:p>
          <w:p w14:paraId="065AF4CD">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教学条件：现代化实训基地：配备齐全的智慧健康养老设备。</w:t>
            </w:r>
          </w:p>
          <w:p w14:paraId="277992BC">
            <w:pPr>
              <w:pageBreakBefore w:val="0"/>
              <w:kinsoku/>
              <w:wordWrap/>
              <w:overflowPunct/>
              <w:topLinePunct w:val="0"/>
              <w:bidi w:val="0"/>
              <w:adjustRightInd w:val="0"/>
              <w:snapToGrid/>
              <w:spacing w:line="360" w:lineRule="exact"/>
              <w:textAlignment w:val="auto"/>
              <w:rPr>
                <w:rFonts w:ascii="宋体" w:hAnsi="宋体" w:cs="宋体"/>
                <w:bCs/>
                <w:sz w:val="18"/>
                <w:szCs w:val="18"/>
              </w:rPr>
            </w:pPr>
            <w:r>
              <w:rPr>
                <w:rFonts w:hint="eastAsia" w:ascii="宋体" w:hAnsi="宋体" w:cs="宋体"/>
                <w:bCs/>
                <w:sz w:val="18"/>
                <w:szCs w:val="18"/>
              </w:rPr>
              <w:t>评价建议：多元化评价体系：结合平时成绩、技能操作考核、理论考试、小组项目、临床实习表现、自我评价和同伴评价等，全面评价学生的学习成效。过程性评价：强调学习过程中的持续评价，及时反馈学生的学习进展，鼓励自我反思和持续改进。</w:t>
            </w:r>
          </w:p>
        </w:tc>
      </w:tr>
    </w:tbl>
    <w:p w14:paraId="5A7046B1">
      <w:pPr>
        <w:pageBreakBefore w:val="0"/>
        <w:kinsoku/>
        <w:wordWrap/>
        <w:overflowPunct/>
        <w:topLinePunct w:val="0"/>
        <w:bidi w:val="0"/>
        <w:snapToGrid/>
        <w:spacing w:line="360" w:lineRule="exact"/>
        <w:ind w:firstLine="422" w:firstLineChars="200"/>
        <w:jc w:val="left"/>
        <w:textAlignment w:val="auto"/>
        <w:rPr>
          <w:rFonts w:ascii="宋体" w:hAnsi="宋体" w:cs="宋体"/>
          <w:szCs w:val="21"/>
        </w:rPr>
      </w:pPr>
      <w:r>
        <w:rPr>
          <w:rFonts w:hint="eastAsia" w:ascii="宋体" w:hAnsi="宋体" w:cs="宋体"/>
          <w:b/>
          <w:bCs/>
          <w:szCs w:val="21"/>
        </w:rPr>
        <w:t>2.专业核心课程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2717"/>
        <w:gridCol w:w="2750"/>
        <w:gridCol w:w="2596"/>
      </w:tblGrid>
      <w:tr w14:paraId="0EE6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23" w:type="dxa"/>
            <w:vAlign w:val="center"/>
          </w:tcPr>
          <w:p w14:paraId="091A68D9">
            <w:pPr>
              <w:pageBreakBefore w:val="0"/>
              <w:kinsoku/>
              <w:wordWrap/>
              <w:overflowPunct/>
              <w:topLinePunct w:val="0"/>
              <w:bidi w:val="0"/>
              <w:snapToGrid/>
              <w:spacing w:line="360" w:lineRule="exact"/>
              <w:jc w:val="center"/>
              <w:textAlignment w:val="auto"/>
              <w:rPr>
                <w:rFonts w:ascii="宋体" w:hAnsi="宋体" w:cs="宋体"/>
                <w:b/>
                <w:sz w:val="21"/>
                <w:szCs w:val="21"/>
              </w:rPr>
            </w:pPr>
            <w:r>
              <w:rPr>
                <w:rFonts w:hint="eastAsia" w:ascii="宋体" w:hAnsi="宋体" w:cs="宋体"/>
                <w:b/>
                <w:sz w:val="21"/>
                <w:szCs w:val="21"/>
              </w:rPr>
              <w:t>课程名称</w:t>
            </w:r>
          </w:p>
        </w:tc>
        <w:tc>
          <w:tcPr>
            <w:tcW w:w="2717" w:type="dxa"/>
            <w:vAlign w:val="center"/>
          </w:tcPr>
          <w:p w14:paraId="7D5BA7FE">
            <w:pPr>
              <w:pageBreakBefore w:val="0"/>
              <w:kinsoku/>
              <w:wordWrap/>
              <w:overflowPunct/>
              <w:topLinePunct w:val="0"/>
              <w:bidi w:val="0"/>
              <w:snapToGrid/>
              <w:spacing w:line="360" w:lineRule="exact"/>
              <w:jc w:val="center"/>
              <w:textAlignment w:val="auto"/>
              <w:rPr>
                <w:rFonts w:ascii="宋体" w:hAnsi="宋体" w:cs="宋体"/>
                <w:b/>
                <w:sz w:val="21"/>
                <w:szCs w:val="21"/>
              </w:rPr>
            </w:pPr>
            <w:r>
              <w:rPr>
                <w:rFonts w:hint="eastAsia" w:ascii="宋体" w:hAnsi="宋体" w:cs="宋体"/>
                <w:b/>
                <w:sz w:val="21"/>
                <w:szCs w:val="21"/>
              </w:rPr>
              <w:t>课程目标</w:t>
            </w:r>
          </w:p>
        </w:tc>
        <w:tc>
          <w:tcPr>
            <w:tcW w:w="2750" w:type="dxa"/>
            <w:vAlign w:val="center"/>
          </w:tcPr>
          <w:p w14:paraId="1DBB8DEB">
            <w:pPr>
              <w:pageBreakBefore w:val="0"/>
              <w:kinsoku/>
              <w:wordWrap/>
              <w:overflowPunct/>
              <w:topLinePunct w:val="0"/>
              <w:bidi w:val="0"/>
              <w:snapToGrid/>
              <w:spacing w:line="360" w:lineRule="exact"/>
              <w:jc w:val="center"/>
              <w:textAlignment w:val="auto"/>
              <w:rPr>
                <w:rFonts w:ascii="宋体" w:hAnsi="宋体" w:cs="宋体"/>
                <w:b/>
                <w:sz w:val="21"/>
                <w:szCs w:val="21"/>
              </w:rPr>
            </w:pPr>
            <w:r>
              <w:rPr>
                <w:rFonts w:hint="eastAsia" w:ascii="宋体" w:hAnsi="宋体" w:cs="宋体"/>
                <w:b/>
                <w:sz w:val="21"/>
                <w:szCs w:val="21"/>
              </w:rPr>
              <w:t>主要内容</w:t>
            </w:r>
          </w:p>
        </w:tc>
        <w:tc>
          <w:tcPr>
            <w:tcW w:w="2596" w:type="dxa"/>
            <w:vAlign w:val="center"/>
          </w:tcPr>
          <w:p w14:paraId="61087796">
            <w:pPr>
              <w:pageBreakBefore w:val="0"/>
              <w:kinsoku/>
              <w:wordWrap/>
              <w:overflowPunct/>
              <w:topLinePunct w:val="0"/>
              <w:bidi w:val="0"/>
              <w:snapToGrid/>
              <w:spacing w:line="360" w:lineRule="exact"/>
              <w:jc w:val="center"/>
              <w:textAlignment w:val="auto"/>
              <w:rPr>
                <w:rFonts w:ascii="宋体" w:hAnsi="宋体" w:cs="宋体"/>
                <w:b/>
                <w:sz w:val="21"/>
                <w:szCs w:val="21"/>
              </w:rPr>
            </w:pPr>
            <w:r>
              <w:rPr>
                <w:rFonts w:hint="eastAsia" w:ascii="宋体" w:hAnsi="宋体" w:cs="宋体"/>
                <w:b/>
                <w:sz w:val="21"/>
                <w:szCs w:val="21"/>
              </w:rPr>
              <w:t>教学要求</w:t>
            </w:r>
          </w:p>
        </w:tc>
      </w:tr>
      <w:tr w14:paraId="5537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49ABFBBC">
            <w:pPr>
              <w:keepLines/>
              <w:pageBreakBefore w:val="0"/>
              <w:widowControl/>
              <w:kinsoku/>
              <w:wordWrap/>
              <w:overflowPunct/>
              <w:topLinePunct w:val="0"/>
              <w:bidi w:val="0"/>
              <w:snapToGrid/>
              <w:spacing w:line="360" w:lineRule="exact"/>
              <w:jc w:val="center"/>
              <w:textAlignment w:val="auto"/>
              <w:rPr>
                <w:rFonts w:hint="eastAsia" w:ascii="宋体" w:hAnsi="宋体" w:eastAsia="宋体" w:cs="宋体"/>
                <w:b/>
                <w:bCs w:val="0"/>
                <w:color w:val="548DD4"/>
                <w:sz w:val="18"/>
                <w:szCs w:val="18"/>
                <w:lang w:val="en-US" w:eastAsia="zh-CN"/>
              </w:rPr>
            </w:pPr>
            <w:r>
              <w:rPr>
                <w:rFonts w:hint="eastAsia" w:ascii="宋体" w:hAnsi="宋体" w:cs="宋体"/>
                <w:b/>
                <w:bCs w:val="0"/>
                <w:sz w:val="18"/>
                <w:szCs w:val="18"/>
              </w:rPr>
              <w:t>老年人生活与基础照护</w:t>
            </w:r>
            <w:r>
              <w:rPr>
                <w:rFonts w:hint="eastAsia" w:ascii="宋体" w:hAnsi="宋体" w:cs="宋体"/>
                <w:b/>
                <w:bCs w:val="0"/>
                <w:sz w:val="18"/>
                <w:szCs w:val="18"/>
                <w:lang w:val="en-US" w:eastAsia="zh-CN"/>
              </w:rPr>
              <w:t>实务</w:t>
            </w:r>
          </w:p>
        </w:tc>
        <w:tc>
          <w:tcPr>
            <w:tcW w:w="2717" w:type="dxa"/>
          </w:tcPr>
          <w:p w14:paraId="5DAE4A52">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知识目标：</w:t>
            </w:r>
          </w:p>
          <w:p w14:paraId="1A34A336">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ascii="宋体" w:hAnsi="宋体" w:cs="宋体"/>
                <w:bCs/>
                <w:sz w:val="18"/>
                <w:szCs w:val="18"/>
              </w:rPr>
              <w:t>使学员掌握老年人生活与基础照护的基本理论、知识和技能，包括老年人的生理、心理特点，常见疾病的护理，以及日常生活照料中的各项技能。</w:t>
            </w:r>
          </w:p>
          <w:p w14:paraId="786FA6DE">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能力目标：</w:t>
            </w:r>
          </w:p>
          <w:p w14:paraId="61C37C35">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提升学员与老年人及其家属的沟通能力，以及与其他医疗、照护人员的协作能力，共同为老年人提供全面的照护服务。</w:t>
            </w:r>
          </w:p>
          <w:p w14:paraId="23CB1C0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素质目标：</w:t>
            </w:r>
          </w:p>
          <w:p w14:paraId="6AE0D417">
            <w:pPr>
              <w:keepLines/>
              <w:pageBreakBefore w:val="0"/>
              <w:widowControl/>
              <w:kinsoku/>
              <w:wordWrap/>
              <w:overflowPunct/>
              <w:topLinePunct w:val="0"/>
              <w:bidi w:val="0"/>
              <w:snapToGrid/>
              <w:spacing w:line="360" w:lineRule="exact"/>
              <w:textAlignment w:val="auto"/>
              <w:rPr>
                <w:rFonts w:ascii="宋体" w:hAnsi="宋体" w:cs="宋体"/>
                <w:bCs/>
                <w:color w:val="548DD4"/>
                <w:sz w:val="18"/>
                <w:szCs w:val="18"/>
              </w:rPr>
            </w:pPr>
            <w:r>
              <w:rPr>
                <w:rFonts w:hint="eastAsia" w:ascii="宋体" w:hAnsi="宋体" w:cs="宋体"/>
                <w:bCs/>
                <w:sz w:val="18"/>
                <w:szCs w:val="18"/>
              </w:rPr>
              <w:t>培养学生具备以“老人为本”、“爱众亲仁”的良好职业道德和“博学笃行”的优秀专业品质，热爱老年服务事业，有高度的社会责任感。</w:t>
            </w:r>
          </w:p>
        </w:tc>
        <w:tc>
          <w:tcPr>
            <w:tcW w:w="2750" w:type="dxa"/>
          </w:tcPr>
          <w:p w14:paraId="34C53A52">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模块一：绪论</w:t>
            </w:r>
          </w:p>
          <w:p w14:paraId="36679A09">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模块二：老年人的生理与心理特点</w:t>
            </w:r>
          </w:p>
          <w:p w14:paraId="719B5A2C">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模块三：老年人日常生活照料</w:t>
            </w:r>
          </w:p>
          <w:p w14:paraId="22F963AE">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模块四：老年人常见疾病护理</w:t>
            </w:r>
          </w:p>
          <w:p w14:paraId="0739742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模块五：老年人安全照护</w:t>
            </w:r>
          </w:p>
          <w:p w14:paraId="03C71FC9">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模块六：老年人心理照护</w:t>
            </w:r>
          </w:p>
          <w:p w14:paraId="6B54DF2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模块七：照护沟通与协作</w:t>
            </w:r>
          </w:p>
          <w:p w14:paraId="71A0DE8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模块八：照护伦理与法律法规</w:t>
            </w:r>
          </w:p>
        </w:tc>
        <w:tc>
          <w:tcPr>
            <w:tcW w:w="2596" w:type="dxa"/>
          </w:tcPr>
          <w:p w14:paraId="75232050">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教学模式：理论与实践一体化：结合理论授课与临床实习，确保学生能在理解理论的基础上进行实践操作，增强知识应用能力。</w:t>
            </w:r>
          </w:p>
          <w:p w14:paraId="3F6E1AA8">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教学方法：采用讲授、讨论、案例分析、模拟实训等多种教学方法相结合，激发学生的学习兴趣和积极性。</w:t>
            </w:r>
          </w:p>
          <w:p w14:paraId="6E279C1E">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教学条件：现代化实训基地：配备齐全的智慧健康养老设备。</w:t>
            </w:r>
          </w:p>
          <w:p w14:paraId="54BE1CA9">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评价建议：多元化评价体系：结合平时成绩、技能操作考核、理论考试、小组项目、临床实习表现、自我评价和同伴评价等，全面评价学生的学习成效。过程性评价：强调学习过程中的持续评价，及时反馈学生的学习进展，鼓励自我反思和持续改进。</w:t>
            </w:r>
          </w:p>
        </w:tc>
      </w:tr>
      <w:tr w14:paraId="54F9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27057635">
            <w:pPr>
              <w:keepLines/>
              <w:pageBreakBefore w:val="0"/>
              <w:widowControl/>
              <w:kinsoku/>
              <w:wordWrap/>
              <w:overflowPunct/>
              <w:topLinePunct w:val="0"/>
              <w:bidi w:val="0"/>
              <w:snapToGrid/>
              <w:spacing w:line="360" w:lineRule="exact"/>
              <w:jc w:val="center"/>
              <w:textAlignment w:val="auto"/>
              <w:rPr>
                <w:rFonts w:hint="eastAsia" w:ascii="宋体" w:hAnsi="宋体" w:eastAsia="宋体" w:cs="宋体"/>
                <w:b/>
                <w:bCs w:val="0"/>
                <w:sz w:val="18"/>
                <w:szCs w:val="18"/>
                <w:lang w:eastAsia="zh-CN"/>
              </w:rPr>
            </w:pPr>
            <w:r>
              <w:rPr>
                <w:rFonts w:hint="eastAsia" w:ascii="宋体" w:hAnsi="宋体" w:cs="宋体"/>
                <w:b/>
                <w:bCs w:val="0"/>
                <w:sz w:val="18"/>
                <w:szCs w:val="18"/>
              </w:rPr>
              <w:t>老年</w:t>
            </w:r>
            <w:r>
              <w:rPr>
                <w:rFonts w:hint="eastAsia" w:ascii="宋体" w:hAnsi="宋体" w:cs="宋体"/>
                <w:b/>
                <w:bCs w:val="0"/>
                <w:sz w:val="18"/>
                <w:szCs w:val="18"/>
                <w:lang w:val="en-US" w:eastAsia="zh-CN"/>
              </w:rPr>
              <w:t>健康照护</w:t>
            </w:r>
          </w:p>
        </w:tc>
        <w:tc>
          <w:tcPr>
            <w:tcW w:w="2717" w:type="dxa"/>
          </w:tcPr>
          <w:p w14:paraId="31E95CE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知识目标：</w:t>
            </w:r>
          </w:p>
          <w:p w14:paraId="41325022">
            <w:pPr>
              <w:keepLines/>
              <w:pageBreakBefore w:val="0"/>
              <w:widowControl/>
              <w:kinsoku/>
              <w:wordWrap/>
              <w:overflowPunct/>
              <w:topLinePunct w:val="0"/>
              <w:bidi w:val="0"/>
              <w:snapToGrid/>
              <w:spacing w:line="360" w:lineRule="exact"/>
              <w:textAlignment w:val="auto"/>
              <w:rPr>
                <w:rFonts w:hint="default"/>
                <w:lang w:val="en-US" w:eastAsia="zh-CN"/>
              </w:rPr>
            </w:pPr>
            <w:r>
              <w:rPr>
                <w:rFonts w:hint="eastAsia" w:ascii="宋体" w:hAnsi="宋体" w:cs="宋体"/>
                <w:bCs/>
                <w:sz w:val="18"/>
                <w:szCs w:val="18"/>
              </w:rPr>
              <w:t>学生需要掌握</w:t>
            </w:r>
            <w:r>
              <w:rPr>
                <w:rFonts w:hint="eastAsia" w:ascii="宋体" w:hAnsi="宋体" w:cs="宋体"/>
                <w:bCs/>
                <w:sz w:val="18"/>
                <w:szCs w:val="18"/>
                <w:lang w:val="en-US" w:eastAsia="zh-CN"/>
              </w:rPr>
              <w:t>老年生理特征与心理变化规律，理解其社会需求及权益保障原则。熟悉饮食照料、排泄护理、清洁护理等日常生活照料规范。</w:t>
            </w:r>
          </w:p>
          <w:p w14:paraId="01F2B164">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能力目标：</w:t>
            </w:r>
          </w:p>
          <w:p w14:paraId="36BD7C5B">
            <w:pPr>
              <w:keepLines/>
              <w:pageBreakBefore w:val="0"/>
              <w:widowControl/>
              <w:kinsoku/>
              <w:wordWrap/>
              <w:overflowPunct/>
              <w:topLinePunct w:val="0"/>
              <w:bidi w:val="0"/>
              <w:snapToGrid/>
              <w:spacing w:line="360" w:lineRule="exact"/>
              <w:textAlignment w:val="auto"/>
              <w:rPr>
                <w:rFonts w:hint="default" w:ascii="宋体" w:hAnsi="宋体" w:eastAsia="宋体" w:cs="宋体"/>
                <w:bCs/>
                <w:sz w:val="18"/>
                <w:szCs w:val="18"/>
                <w:lang w:val="en-US" w:eastAsia="zh-CN"/>
              </w:rPr>
            </w:pPr>
            <w:r>
              <w:rPr>
                <w:rFonts w:hint="eastAsia" w:ascii="宋体" w:hAnsi="宋体" w:cs="宋体"/>
                <w:bCs/>
                <w:sz w:val="18"/>
                <w:szCs w:val="18"/>
              </w:rPr>
              <w:t>学生能</w:t>
            </w:r>
            <w:r>
              <w:rPr>
                <w:rFonts w:hint="eastAsia" w:ascii="宋体" w:hAnsi="宋体" w:cs="宋体"/>
                <w:bCs/>
                <w:sz w:val="18"/>
                <w:szCs w:val="18"/>
                <w:lang w:val="en-US" w:eastAsia="zh-CN"/>
              </w:rPr>
              <w:t>评估老年人家庭情况并制定个性化服务方案。独立完成进食协助、如厕护理等操作。运用辅助器具进行康复训练，实施用药管理及健康宣教。</w:t>
            </w:r>
          </w:p>
          <w:p w14:paraId="1EC257B5">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素质目标：</w:t>
            </w:r>
          </w:p>
          <w:p w14:paraId="09BA2167">
            <w:pPr>
              <w:keepLines/>
              <w:pageBreakBefore w:val="0"/>
              <w:widowControl/>
              <w:kinsoku/>
              <w:wordWrap/>
              <w:overflowPunct/>
              <w:topLinePunct w:val="0"/>
              <w:bidi w:val="0"/>
              <w:snapToGrid/>
              <w:spacing w:line="360" w:lineRule="exact"/>
              <w:textAlignment w:val="auto"/>
              <w:rPr>
                <w:rFonts w:hint="default" w:ascii="宋体" w:hAnsi="宋体" w:eastAsia="宋体" w:cs="宋体"/>
                <w:bCs/>
                <w:sz w:val="18"/>
                <w:szCs w:val="18"/>
                <w:lang w:val="en-US" w:eastAsia="zh-CN"/>
              </w:rPr>
            </w:pPr>
            <w:r>
              <w:rPr>
                <w:rFonts w:hint="eastAsia" w:ascii="宋体" w:hAnsi="宋体" w:cs="宋体"/>
                <w:bCs/>
                <w:sz w:val="18"/>
                <w:szCs w:val="18"/>
              </w:rPr>
              <w:t>培养树立积极的健康老龄观，培养</w:t>
            </w:r>
            <w:r>
              <w:rPr>
                <w:rFonts w:hint="eastAsia" w:ascii="宋体" w:hAnsi="宋体" w:cs="宋体"/>
                <w:bCs/>
                <w:sz w:val="18"/>
                <w:szCs w:val="18"/>
                <w:lang w:val="en-US" w:eastAsia="zh-CN"/>
              </w:rPr>
              <w:t>尊重、耐心、细心的服务理念，具备吃苦耐劳、爱岗敬业的品质，做到服务中不怕脏累。</w:t>
            </w:r>
          </w:p>
          <w:p w14:paraId="4451C2FC">
            <w:pPr>
              <w:keepLines/>
              <w:pageBreakBefore w:val="0"/>
              <w:widowControl/>
              <w:kinsoku/>
              <w:wordWrap/>
              <w:overflowPunct/>
              <w:topLinePunct w:val="0"/>
              <w:bidi w:val="0"/>
              <w:snapToGrid/>
              <w:spacing w:line="360" w:lineRule="exact"/>
              <w:textAlignment w:val="auto"/>
              <w:rPr>
                <w:rFonts w:ascii="宋体" w:hAnsi="宋体" w:cs="宋体"/>
                <w:bCs/>
                <w:sz w:val="18"/>
                <w:szCs w:val="18"/>
              </w:rPr>
            </w:pPr>
          </w:p>
          <w:p w14:paraId="7D3B337B">
            <w:pPr>
              <w:keepLines/>
              <w:pageBreakBefore w:val="0"/>
              <w:widowControl/>
              <w:kinsoku/>
              <w:wordWrap/>
              <w:overflowPunct/>
              <w:topLinePunct w:val="0"/>
              <w:bidi w:val="0"/>
              <w:snapToGrid/>
              <w:spacing w:line="360" w:lineRule="exact"/>
              <w:textAlignment w:val="auto"/>
              <w:rPr>
                <w:rFonts w:ascii="宋体" w:hAnsi="宋体" w:cs="宋体"/>
                <w:bCs/>
                <w:sz w:val="18"/>
                <w:szCs w:val="18"/>
              </w:rPr>
            </w:pPr>
          </w:p>
        </w:tc>
        <w:tc>
          <w:tcPr>
            <w:tcW w:w="2750" w:type="dxa"/>
          </w:tcPr>
          <w:p w14:paraId="2C1021F6">
            <w:pPr>
              <w:keepLines/>
              <w:pageBreakBefore w:val="0"/>
              <w:widowControl/>
              <w:kinsoku/>
              <w:wordWrap/>
              <w:overflowPunct/>
              <w:topLinePunct w:val="0"/>
              <w:bidi w:val="0"/>
              <w:snapToGrid/>
              <w:spacing w:line="360" w:lineRule="exact"/>
              <w:textAlignment w:val="auto"/>
              <w:rPr>
                <w:rFonts w:hint="default" w:ascii="宋体" w:hAnsi="宋体" w:eastAsia="宋体" w:cs="宋体"/>
                <w:bCs/>
                <w:sz w:val="18"/>
                <w:szCs w:val="18"/>
                <w:lang w:val="en-US" w:eastAsia="zh-CN"/>
              </w:rPr>
            </w:pPr>
            <w:r>
              <w:rPr>
                <w:rFonts w:hint="eastAsia" w:ascii="宋体" w:hAnsi="宋体" w:cs="宋体"/>
                <w:bCs/>
                <w:sz w:val="18"/>
                <w:szCs w:val="18"/>
              </w:rPr>
              <w:t>模块一:</w:t>
            </w:r>
            <w:r>
              <w:rPr>
                <w:rFonts w:hint="eastAsia" w:ascii="宋体" w:hAnsi="宋体" w:cs="宋体"/>
                <w:bCs/>
                <w:sz w:val="18"/>
                <w:szCs w:val="18"/>
                <w:lang w:val="en-US" w:eastAsia="zh-CN"/>
              </w:rPr>
              <w:t>基础照护技能</w:t>
            </w:r>
          </w:p>
          <w:p w14:paraId="079204E8">
            <w:pPr>
              <w:keepLines/>
              <w:pageBreakBefore w:val="0"/>
              <w:widowControl/>
              <w:kinsoku/>
              <w:wordWrap/>
              <w:overflowPunct/>
              <w:topLinePunct w:val="0"/>
              <w:bidi w:val="0"/>
              <w:snapToGrid/>
              <w:spacing w:line="360" w:lineRule="exact"/>
              <w:textAlignment w:val="auto"/>
              <w:rPr>
                <w:rFonts w:hint="eastAsia" w:ascii="宋体" w:hAnsi="宋体" w:cs="宋体"/>
                <w:bCs/>
                <w:sz w:val="18"/>
                <w:szCs w:val="18"/>
                <w:lang w:val="en-US" w:eastAsia="zh-CN"/>
              </w:rPr>
            </w:pPr>
            <w:r>
              <w:rPr>
                <w:rFonts w:hint="eastAsia" w:ascii="宋体" w:hAnsi="宋体" w:cs="宋体"/>
                <w:bCs/>
                <w:sz w:val="18"/>
                <w:szCs w:val="18"/>
              </w:rPr>
              <w:t>模块二:</w:t>
            </w:r>
            <w:r>
              <w:rPr>
                <w:rFonts w:hint="eastAsia" w:ascii="宋体" w:hAnsi="宋体" w:cs="宋体"/>
                <w:bCs/>
                <w:sz w:val="18"/>
                <w:szCs w:val="18"/>
                <w:lang w:val="en-US" w:eastAsia="zh-CN"/>
              </w:rPr>
              <w:t>安全与防护</w:t>
            </w:r>
          </w:p>
          <w:p w14:paraId="22CF6B8B">
            <w:pPr>
              <w:keepLines/>
              <w:pageBreakBefore w:val="0"/>
              <w:widowControl/>
              <w:kinsoku/>
              <w:wordWrap/>
              <w:overflowPunct/>
              <w:topLinePunct w:val="0"/>
              <w:bidi w:val="0"/>
              <w:snapToGrid/>
              <w:spacing w:line="360" w:lineRule="exact"/>
              <w:textAlignment w:val="auto"/>
              <w:rPr>
                <w:rFonts w:hint="eastAsia" w:ascii="宋体" w:hAnsi="宋体" w:eastAsia="宋体" w:cs="宋体"/>
                <w:bCs/>
                <w:sz w:val="18"/>
                <w:szCs w:val="18"/>
                <w:lang w:eastAsia="zh-CN"/>
              </w:rPr>
            </w:pPr>
            <w:r>
              <w:rPr>
                <w:rFonts w:hint="eastAsia" w:ascii="宋体" w:hAnsi="宋体" w:cs="宋体"/>
                <w:bCs/>
                <w:sz w:val="18"/>
                <w:szCs w:val="18"/>
              </w:rPr>
              <w:t>模块三:</w:t>
            </w:r>
            <w:r>
              <w:rPr>
                <w:rFonts w:hint="eastAsia" w:ascii="宋体" w:hAnsi="宋体" w:cs="宋体"/>
                <w:bCs/>
                <w:sz w:val="18"/>
                <w:szCs w:val="18"/>
                <w:lang w:val="en-US" w:eastAsia="zh-CN"/>
              </w:rPr>
              <w:t>专业照护知识</w:t>
            </w:r>
          </w:p>
          <w:p w14:paraId="4C16D824">
            <w:pPr>
              <w:keepLines/>
              <w:pageBreakBefore w:val="0"/>
              <w:widowControl/>
              <w:kinsoku/>
              <w:wordWrap/>
              <w:overflowPunct/>
              <w:topLinePunct w:val="0"/>
              <w:bidi w:val="0"/>
              <w:snapToGrid/>
              <w:spacing w:line="360" w:lineRule="exact"/>
              <w:textAlignment w:val="auto"/>
              <w:rPr>
                <w:rFonts w:hint="default" w:ascii="宋体" w:hAnsi="宋体" w:eastAsia="宋体" w:cs="宋体"/>
                <w:bCs/>
                <w:sz w:val="18"/>
                <w:szCs w:val="18"/>
                <w:lang w:val="en-US" w:eastAsia="zh-CN"/>
              </w:rPr>
            </w:pPr>
            <w:r>
              <w:rPr>
                <w:rFonts w:hint="eastAsia" w:ascii="宋体" w:hAnsi="宋体" w:cs="宋体"/>
                <w:bCs/>
                <w:sz w:val="18"/>
                <w:szCs w:val="18"/>
              </w:rPr>
              <w:t>模块四:</w:t>
            </w:r>
            <w:r>
              <w:rPr>
                <w:rFonts w:hint="eastAsia" w:ascii="宋体" w:hAnsi="宋体" w:cs="宋体"/>
                <w:bCs/>
                <w:sz w:val="18"/>
                <w:szCs w:val="18"/>
                <w:lang w:val="en-US" w:eastAsia="zh-CN"/>
              </w:rPr>
              <w:t>康复与心理支持</w:t>
            </w:r>
          </w:p>
          <w:p w14:paraId="78D2537C">
            <w:pPr>
              <w:keepLines/>
              <w:pageBreakBefore w:val="0"/>
              <w:widowControl/>
              <w:kinsoku/>
              <w:wordWrap/>
              <w:overflowPunct/>
              <w:topLinePunct w:val="0"/>
              <w:bidi w:val="0"/>
              <w:snapToGrid/>
              <w:spacing w:line="360" w:lineRule="exact"/>
              <w:textAlignment w:val="auto"/>
              <w:rPr>
                <w:rFonts w:hint="default" w:ascii="宋体" w:hAnsi="宋体" w:eastAsia="宋体" w:cs="宋体"/>
                <w:bCs/>
                <w:sz w:val="18"/>
                <w:szCs w:val="18"/>
                <w:lang w:val="en-US" w:eastAsia="zh-CN"/>
              </w:rPr>
            </w:pPr>
            <w:r>
              <w:rPr>
                <w:rFonts w:hint="eastAsia" w:ascii="宋体" w:hAnsi="宋体" w:cs="宋体"/>
                <w:bCs/>
                <w:sz w:val="18"/>
                <w:szCs w:val="18"/>
              </w:rPr>
              <w:t>模块五:</w:t>
            </w:r>
            <w:r>
              <w:rPr>
                <w:rFonts w:hint="eastAsia" w:ascii="宋体" w:hAnsi="宋体" w:cs="宋体"/>
                <w:bCs/>
                <w:sz w:val="18"/>
                <w:szCs w:val="18"/>
                <w:lang w:val="en-US" w:eastAsia="zh-CN"/>
              </w:rPr>
              <w:t>职业素养与法规</w:t>
            </w:r>
          </w:p>
          <w:p w14:paraId="6546AAA8">
            <w:pPr>
              <w:keepLines/>
              <w:pageBreakBefore w:val="0"/>
              <w:widowControl/>
              <w:kinsoku/>
              <w:wordWrap/>
              <w:overflowPunct/>
              <w:topLinePunct w:val="0"/>
              <w:bidi w:val="0"/>
              <w:snapToGrid/>
              <w:spacing w:line="360" w:lineRule="exact"/>
              <w:textAlignment w:val="auto"/>
              <w:rPr>
                <w:rFonts w:ascii="宋体" w:hAnsi="宋体" w:cs="宋体"/>
                <w:bCs/>
                <w:sz w:val="18"/>
                <w:szCs w:val="18"/>
              </w:rPr>
            </w:pPr>
          </w:p>
        </w:tc>
        <w:tc>
          <w:tcPr>
            <w:tcW w:w="2596" w:type="dxa"/>
          </w:tcPr>
          <w:p w14:paraId="1136491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教学模式：</w:t>
            </w:r>
          </w:p>
          <w:p w14:paraId="46C4694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理论与实践一体化：结合理论授课与教学实习，确保学生能在理解理论的基础上进行实践操作，增强知识应用能力。</w:t>
            </w:r>
          </w:p>
          <w:p w14:paraId="613D4766">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教学方法：案例教学法：选取典型孤残儿童照护案例，引导学生分析病情、评估功能障碍、制定护理计划，增强临床决策能力。</w:t>
            </w:r>
          </w:p>
          <w:p w14:paraId="6845A1EA">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教学条件：现代化实训基地：配备齐全的护理训练设备。</w:t>
            </w:r>
          </w:p>
          <w:p w14:paraId="56AA23A9">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评价建议：多元化评价体系：结合平时成绩、技能操作考核、理论考试、小组项目、临床实习表现、自我评价和同伴评价等，全面评价学生的学习成效。过程性评价：强调学习过程中的持续评价，及时反馈学生的学习进展，鼓励自我反思和持续改进。</w:t>
            </w:r>
          </w:p>
        </w:tc>
      </w:tr>
      <w:tr w14:paraId="158A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7C595202">
            <w:pPr>
              <w:keepLines/>
              <w:pageBreakBefore w:val="0"/>
              <w:widowControl/>
              <w:kinsoku/>
              <w:wordWrap/>
              <w:overflowPunct/>
              <w:topLinePunct w:val="0"/>
              <w:bidi w:val="0"/>
              <w:snapToGrid/>
              <w:spacing w:line="360" w:lineRule="exact"/>
              <w:jc w:val="center"/>
              <w:textAlignment w:val="auto"/>
              <w:rPr>
                <w:rFonts w:hint="eastAsia" w:ascii="宋体" w:hAnsi="宋体" w:eastAsia="宋体" w:cs="宋体"/>
                <w:b/>
                <w:bCs w:val="0"/>
                <w:sz w:val="18"/>
                <w:szCs w:val="18"/>
                <w:lang w:val="en-US" w:eastAsia="zh-CN"/>
              </w:rPr>
            </w:pPr>
            <w:r>
              <w:rPr>
                <w:rFonts w:hint="eastAsia" w:ascii="宋体" w:hAnsi="宋体" w:cs="宋体"/>
                <w:b/>
                <w:bCs w:val="0"/>
                <w:sz w:val="18"/>
                <w:szCs w:val="18"/>
              </w:rPr>
              <w:t>老年人心理护理</w:t>
            </w:r>
            <w:r>
              <w:rPr>
                <w:rFonts w:hint="eastAsia" w:ascii="宋体" w:hAnsi="宋体" w:cs="宋体"/>
                <w:b/>
                <w:bCs w:val="0"/>
                <w:sz w:val="18"/>
                <w:szCs w:val="18"/>
                <w:lang w:val="en-US" w:eastAsia="zh-CN"/>
              </w:rPr>
              <w:t>实务</w:t>
            </w:r>
          </w:p>
        </w:tc>
        <w:tc>
          <w:tcPr>
            <w:tcW w:w="2717" w:type="dxa"/>
          </w:tcPr>
          <w:p w14:paraId="14C06D69">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知识目标：</w:t>
            </w:r>
          </w:p>
          <w:p w14:paraId="160AADC6">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掌握老年人的心理特点和需求，包括常见的心理问题和情绪变化。熟悉老年人心理护理的评估和干预手段，以及相关的伦理和法规要求。</w:t>
            </w:r>
          </w:p>
          <w:p w14:paraId="7E48A2B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能力目标：</w:t>
            </w:r>
          </w:p>
          <w:p w14:paraId="61C4F91D">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具备与老年人有效沟通的能力，能够倾听、理解并回应老年人的心理需求。</w:t>
            </w:r>
          </w:p>
          <w:p w14:paraId="6D4D1D9C">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素质目标：</w:t>
            </w:r>
          </w:p>
          <w:p w14:paraId="473B777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增强老年人的自尊、自信和自我价值感，促进老年人的心理健康和社会参与。弘扬中华民族尊老爱幼的传统美德，提升社会对老年人心理健康问题的关注和重视。</w:t>
            </w:r>
          </w:p>
        </w:tc>
        <w:tc>
          <w:tcPr>
            <w:tcW w:w="2750" w:type="dxa"/>
          </w:tcPr>
          <w:p w14:paraId="1D924092">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模块一：绪论</w:t>
            </w:r>
          </w:p>
          <w:p w14:paraId="4AA6688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模块二：老年人的心理特点与需求</w:t>
            </w:r>
          </w:p>
          <w:p w14:paraId="28174105">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模块三：老年人心理护理的基本理论</w:t>
            </w:r>
          </w:p>
          <w:p w14:paraId="612B24BC">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模块四：老年人常见心理问题的护理</w:t>
            </w:r>
          </w:p>
          <w:p w14:paraId="21ADA0D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模块五：老年人心理护理技巧与实践</w:t>
            </w:r>
          </w:p>
          <w:p w14:paraId="49847885">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模块六：特殊情况下老年人的心理护理</w:t>
            </w:r>
          </w:p>
          <w:p w14:paraId="24C68CE5">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模块七：老年人心理护理的伦理与法规</w:t>
            </w:r>
          </w:p>
          <w:p w14:paraId="0B5F319E">
            <w:pPr>
              <w:keepLines/>
              <w:pageBreakBefore w:val="0"/>
              <w:widowControl/>
              <w:kinsoku/>
              <w:wordWrap/>
              <w:overflowPunct/>
              <w:topLinePunct w:val="0"/>
              <w:bidi w:val="0"/>
              <w:snapToGrid/>
              <w:spacing w:line="360" w:lineRule="exact"/>
              <w:textAlignment w:val="auto"/>
              <w:rPr>
                <w:rFonts w:ascii="宋体" w:hAnsi="宋体" w:cs="宋体"/>
                <w:bCs/>
                <w:sz w:val="18"/>
                <w:szCs w:val="18"/>
              </w:rPr>
            </w:pPr>
          </w:p>
        </w:tc>
        <w:tc>
          <w:tcPr>
            <w:tcW w:w="2596" w:type="dxa"/>
          </w:tcPr>
          <w:p w14:paraId="7EDB2E9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通过学习要求掌握中医推拿治疗基础的基本特点，掌握和熟悉《推拿治疗基础》的定义和研究治疗范围以及推拿治疗的作用原理与治则治法、成人与小儿常见病症的临床表现与推拿治疗等，了解常见病症的病因病机、注意事项与治疗须知，以及现代医学对推拿的认识与自我推拿保健方法，为今后的临床、教学和科研工作奠定基础。在授课时逐步培养学生中医临床辨证思维能力，让学生逐渐具备自主学习和终身学习的能力，培养学生的动手能力、专科检查、常见疾病的推拿手法操作技能。</w:t>
            </w:r>
          </w:p>
        </w:tc>
      </w:tr>
      <w:tr w14:paraId="59E5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264140DC">
            <w:pPr>
              <w:keepLines/>
              <w:pageBreakBefore w:val="0"/>
              <w:widowControl/>
              <w:kinsoku/>
              <w:wordWrap/>
              <w:overflowPunct/>
              <w:topLinePunct w:val="0"/>
              <w:bidi w:val="0"/>
              <w:snapToGrid/>
              <w:spacing w:line="360" w:lineRule="exact"/>
              <w:jc w:val="center"/>
              <w:textAlignment w:val="auto"/>
              <w:rPr>
                <w:rFonts w:hint="default" w:ascii="宋体" w:hAnsi="宋体" w:eastAsia="宋体" w:cs="宋体"/>
                <w:b/>
                <w:bCs w:val="0"/>
                <w:sz w:val="18"/>
                <w:szCs w:val="18"/>
                <w:lang w:val="en-US" w:eastAsia="zh-CN"/>
              </w:rPr>
            </w:pPr>
            <w:r>
              <w:rPr>
                <w:rFonts w:hint="eastAsia" w:ascii="宋体" w:hAnsi="宋体" w:cs="宋体"/>
                <w:b/>
                <w:bCs w:val="0"/>
                <w:sz w:val="18"/>
                <w:szCs w:val="18"/>
              </w:rPr>
              <w:t>老年活动</w:t>
            </w:r>
            <w:r>
              <w:rPr>
                <w:rFonts w:hint="eastAsia" w:ascii="宋体" w:hAnsi="宋体" w:cs="宋体"/>
                <w:b/>
                <w:bCs w:val="0"/>
                <w:sz w:val="18"/>
                <w:szCs w:val="18"/>
                <w:lang w:val="en-US" w:eastAsia="zh-CN"/>
              </w:rPr>
              <w:t>策划与设计</w:t>
            </w:r>
          </w:p>
        </w:tc>
        <w:tc>
          <w:tcPr>
            <w:tcW w:w="2717" w:type="dxa"/>
          </w:tcPr>
          <w:p w14:paraId="7C90A786">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知识目标：</w:t>
            </w:r>
          </w:p>
          <w:p w14:paraId="384300DD">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掌握老年活动策划与组织所需的基础知识和技能，包括活动策划的流程、活动内容的选择与设计、活动场地的布置与安排等。</w:t>
            </w:r>
          </w:p>
          <w:p w14:paraId="7DE4506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能力目标：</w:t>
            </w:r>
          </w:p>
          <w:p w14:paraId="36DD0BD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培养学生具备独立策划和组织老年活动的能力，能够根据老年人的需求和兴趣，设计出符合他们特点的活动方案。</w:t>
            </w:r>
          </w:p>
          <w:p w14:paraId="30C9E65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素质目标：</w:t>
            </w:r>
          </w:p>
          <w:p w14:paraId="01344EC4">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培养学生的职业素养和人文关怀精神，使他们在策划和组织老年活动时，能够充分考虑老年人的身心健康和实际需求，提供贴心、周到的服务。</w:t>
            </w:r>
          </w:p>
        </w:tc>
        <w:tc>
          <w:tcPr>
            <w:tcW w:w="2750" w:type="dxa"/>
          </w:tcPr>
          <w:p w14:paraId="69A2ADA2">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模块一：绪论</w:t>
            </w:r>
          </w:p>
          <w:p w14:paraId="5DB0F5A0">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模块二：老年活动概述</w:t>
            </w:r>
          </w:p>
          <w:p w14:paraId="16679FF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模块三：老年活动需求评估</w:t>
            </w:r>
          </w:p>
          <w:p w14:paraId="28BDE0A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模块四：老年活动策划</w:t>
            </w:r>
          </w:p>
          <w:p w14:paraId="7F2E45B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模块五：老年活动组织与实施、</w:t>
            </w:r>
          </w:p>
          <w:p w14:paraId="738B3AD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模块六：老年活动评价与反馈</w:t>
            </w:r>
          </w:p>
          <w:p w14:paraId="51B8574A">
            <w:pPr>
              <w:keepLines/>
              <w:pageBreakBefore w:val="0"/>
              <w:widowControl/>
              <w:kinsoku/>
              <w:wordWrap/>
              <w:overflowPunct/>
              <w:topLinePunct w:val="0"/>
              <w:bidi w:val="0"/>
              <w:snapToGrid/>
              <w:spacing w:line="360" w:lineRule="exact"/>
              <w:textAlignment w:val="auto"/>
              <w:rPr>
                <w:rFonts w:ascii="宋体" w:hAnsi="宋体" w:cs="宋体"/>
                <w:bCs/>
                <w:sz w:val="18"/>
                <w:szCs w:val="18"/>
              </w:rPr>
            </w:pPr>
          </w:p>
        </w:tc>
        <w:tc>
          <w:tcPr>
            <w:tcW w:w="2596" w:type="dxa"/>
          </w:tcPr>
          <w:p w14:paraId="15916A5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模式：理论与实践结合：结合课堂讲授与实验室实践，确保学生既能掌握理论知识，又能通过亲手操作加深理解。利用线上资源（如视频讲座、三维解剖软件、虚拟实验室）与线下教学相结合，提供灵活多样的学习途径。</w:t>
            </w:r>
          </w:p>
          <w:p w14:paraId="6E20544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教学方法：直观演示、分组讨论、模拟操作、翻转课堂等方法。</w:t>
            </w:r>
          </w:p>
          <w:p w14:paraId="0FA11ED9">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教学条件：现代化实验室、数字资源、专业师资等</w:t>
            </w:r>
          </w:p>
          <w:p w14:paraId="3AE831A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评价建议：形成性评价：在学习过程中定期给予反馈，帮助学生及时调整学习策略。</w:t>
            </w:r>
          </w:p>
          <w:p w14:paraId="5E352C7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自我评价与同伴评价：鼓励学生自我反思学习过程，通过同伴评价促进相互学习和改进。实践能力考核：重视对解剖操作技能、空间理解能力和临床应用能力的评估。</w:t>
            </w:r>
          </w:p>
        </w:tc>
      </w:tr>
      <w:tr w14:paraId="7757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06D188F4">
            <w:pPr>
              <w:keepLines/>
              <w:pageBreakBefore w:val="0"/>
              <w:widowControl/>
              <w:kinsoku/>
              <w:wordWrap/>
              <w:overflowPunct/>
              <w:topLinePunct w:val="0"/>
              <w:bidi w:val="0"/>
              <w:snapToGrid/>
              <w:spacing w:line="360" w:lineRule="exact"/>
              <w:jc w:val="center"/>
              <w:textAlignment w:val="auto"/>
              <w:rPr>
                <w:rFonts w:ascii="宋体" w:hAnsi="宋体" w:cs="宋体"/>
                <w:b/>
                <w:bCs w:val="0"/>
                <w:sz w:val="18"/>
                <w:szCs w:val="18"/>
              </w:rPr>
            </w:pPr>
            <w:r>
              <w:rPr>
                <w:rFonts w:hint="eastAsia" w:ascii="宋体" w:hAnsi="宋体" w:cs="宋体"/>
                <w:b/>
                <w:bCs w:val="0"/>
                <w:sz w:val="18"/>
                <w:szCs w:val="18"/>
              </w:rPr>
              <w:t>养老机构智慧运营与管理</w:t>
            </w:r>
          </w:p>
        </w:tc>
        <w:tc>
          <w:tcPr>
            <w:tcW w:w="2717" w:type="dxa"/>
          </w:tcPr>
          <w:p w14:paraId="4C5885BC">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知识目标：掌握智慧养老的基本概念、发展历程、核心技术及其在养老机构中的应用；理解养老市场的发展现状、未来趋势及政策法规体系；熟悉养老机构运营管理的基本原理、模式与流程。</w:t>
            </w:r>
          </w:p>
          <w:p w14:paraId="381AB81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能力目标：能够运用物联网、大数据、云计算、人工智能等现代信息技术优化养老机构服务流程，提升运营效率与服务质量；掌握市场分析、目标客户定位、服务产品设计与营销策略制定等经营管理技能；具备养老机构项目策划、实施与评估的综合能力。</w:t>
            </w:r>
          </w:p>
          <w:p w14:paraId="68DF983A">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素质目标：培养学生的社会责任感、职业道德素养和团队协作精神；提升学生的创新意识、问题解决能力和终身学习能力；引导学生在面对老龄化社会挑战时，能够勇于担当，积极贡献。</w:t>
            </w:r>
          </w:p>
        </w:tc>
        <w:tc>
          <w:tcPr>
            <w:tcW w:w="2750" w:type="dxa"/>
          </w:tcPr>
          <w:p w14:paraId="340923D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模块一：智慧养老导论</w:t>
            </w:r>
          </w:p>
          <w:p w14:paraId="239FE5E9">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模块二：智慧养老核心技术与应用</w:t>
            </w:r>
          </w:p>
          <w:p w14:paraId="329AF5E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模块三：养老机构运营管理基础</w:t>
            </w:r>
          </w:p>
          <w:p w14:paraId="5FE721EA">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模块四：智慧养老服务与产品创新</w:t>
            </w:r>
          </w:p>
          <w:p w14:paraId="4CE14C4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模块五：智慧养老市场分析与营销策略</w:t>
            </w:r>
          </w:p>
          <w:p w14:paraId="4B3CBFD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模块六：智慧养老项目策划与运营管理实践</w:t>
            </w:r>
          </w:p>
          <w:p w14:paraId="543CBDA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模块七：未来展望与趋势分析</w:t>
            </w:r>
          </w:p>
        </w:tc>
        <w:tc>
          <w:tcPr>
            <w:tcW w:w="2596" w:type="dxa"/>
          </w:tcPr>
          <w:p w14:paraId="77E9195A">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模式：理论与实践结合：结合课堂讲授与实验室实践，确保学生既能掌握理论知识，又能通过亲手操作加深理解。利用线上资源（如视频讲座、三维解剖软件、虚拟实验室）与线下教学相结合，提供灵活多样的学习途径。</w:t>
            </w:r>
          </w:p>
          <w:p w14:paraId="52D2CF4A">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教学方法：直观演示、分组讨论、模拟操作、翻转课堂等方法。</w:t>
            </w:r>
          </w:p>
          <w:p w14:paraId="05CB8910">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教学条件：现代化实验室、数字资源、专业师资等</w:t>
            </w:r>
          </w:p>
          <w:p w14:paraId="296A7565">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评价建议：形成性评价：在学习过程中定期给予反馈，帮助学生及时调整学习策略。</w:t>
            </w:r>
          </w:p>
          <w:p w14:paraId="5302B3F6">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自我评价与同伴评价：鼓励学生自我反思学习过程，通过同伴评价促进相互学习和改进。实践能力考核：重视对解剖操作技能、空间理解能力和临床应用能力的评估。</w:t>
            </w:r>
          </w:p>
        </w:tc>
      </w:tr>
      <w:tr w14:paraId="5DCD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02D43558">
            <w:pPr>
              <w:keepLines/>
              <w:pageBreakBefore w:val="0"/>
              <w:widowControl/>
              <w:kinsoku/>
              <w:wordWrap/>
              <w:overflowPunct/>
              <w:topLinePunct w:val="0"/>
              <w:bidi w:val="0"/>
              <w:snapToGrid/>
              <w:spacing w:line="360" w:lineRule="exact"/>
              <w:jc w:val="center"/>
              <w:textAlignment w:val="auto"/>
              <w:rPr>
                <w:rFonts w:hint="default" w:ascii="宋体" w:hAnsi="宋体" w:eastAsia="宋体" w:cs="宋体"/>
                <w:b/>
                <w:bCs w:val="0"/>
                <w:sz w:val="18"/>
                <w:szCs w:val="18"/>
                <w:lang w:val="en-US" w:eastAsia="zh-CN"/>
              </w:rPr>
            </w:pPr>
            <w:r>
              <w:rPr>
                <w:rFonts w:hint="eastAsia" w:ascii="宋体" w:hAnsi="宋体" w:cs="宋体"/>
                <w:b/>
                <w:bCs w:val="0"/>
                <w:sz w:val="18"/>
                <w:szCs w:val="18"/>
                <w:lang w:val="en-US" w:eastAsia="zh-CN"/>
              </w:rPr>
              <w:t>老年人能力评估实务</w:t>
            </w:r>
          </w:p>
        </w:tc>
        <w:tc>
          <w:tcPr>
            <w:tcW w:w="2717" w:type="dxa"/>
          </w:tcPr>
          <w:p w14:paraId="0613F164">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知识目标：掌握</w:t>
            </w:r>
            <w:r>
              <w:rPr>
                <w:rFonts w:hint="eastAsia" w:ascii="宋体" w:hAnsi="宋体" w:cs="宋体"/>
                <w:bCs/>
                <w:sz w:val="18"/>
                <w:szCs w:val="18"/>
                <w:lang w:val="en-US" w:eastAsia="zh-CN"/>
              </w:rPr>
              <w:t>老年人能力</w:t>
            </w:r>
            <w:r>
              <w:rPr>
                <w:rFonts w:hint="eastAsia" w:ascii="宋体" w:hAnsi="宋体" w:cs="宋体"/>
                <w:bCs/>
                <w:sz w:val="18"/>
                <w:szCs w:val="18"/>
              </w:rPr>
              <w:t>评估的基本概念、原理和方法，包括症状评估、身体评估、心理评估、社会评估及辅助检查评估等。</w:t>
            </w:r>
          </w:p>
          <w:p w14:paraId="0108CDAD">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能力目标：具备独立进行健康评估的能力，包括准确采集病史、全面进行体格检查、正确解读辅助检查结果等。</w:t>
            </w:r>
          </w:p>
          <w:p w14:paraId="20649052">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素质目标：</w:t>
            </w:r>
          </w:p>
          <w:p w14:paraId="3ECBCB46">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培养学生严谨求实、一丝不苟的工作态度，注重细节，确保评估结果的准确性和可靠性。强化学生的职业道德修养和人文关怀精神，尊重患者，保护患者隐私，为患者提供高质量的护理服务。</w:t>
            </w:r>
          </w:p>
          <w:p w14:paraId="106E189F">
            <w:pPr>
              <w:keepLines/>
              <w:pageBreakBefore w:val="0"/>
              <w:widowControl/>
              <w:kinsoku/>
              <w:wordWrap/>
              <w:overflowPunct/>
              <w:topLinePunct w:val="0"/>
              <w:bidi w:val="0"/>
              <w:snapToGrid/>
              <w:spacing w:line="360" w:lineRule="exact"/>
              <w:textAlignment w:val="auto"/>
              <w:rPr>
                <w:rFonts w:ascii="宋体" w:hAnsi="宋体" w:cs="宋体"/>
                <w:bCs/>
                <w:sz w:val="18"/>
                <w:szCs w:val="18"/>
              </w:rPr>
            </w:pPr>
          </w:p>
        </w:tc>
        <w:tc>
          <w:tcPr>
            <w:tcW w:w="2750" w:type="dxa"/>
          </w:tcPr>
          <w:p w14:paraId="62F1BF5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模块一：绪论</w:t>
            </w:r>
          </w:p>
          <w:p w14:paraId="5E1E5B8C">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模块二：健康评估基础知识</w:t>
            </w:r>
          </w:p>
          <w:p w14:paraId="5DAE9ACE">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模块三：症状评估</w:t>
            </w:r>
          </w:p>
          <w:p w14:paraId="46934092">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模块四：身体评估</w:t>
            </w:r>
          </w:p>
          <w:p w14:paraId="65CA4594">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模块五：心理评估</w:t>
            </w:r>
          </w:p>
          <w:p w14:paraId="48E52B9E">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模块六：社会评估</w:t>
            </w:r>
          </w:p>
          <w:p w14:paraId="4B1366FA">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模块七：辅助检查评估</w:t>
            </w:r>
          </w:p>
          <w:p w14:paraId="481F7249">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模块八：护理诊断与病历书写</w:t>
            </w:r>
          </w:p>
          <w:p w14:paraId="2CFA562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模块九：实践技能操作</w:t>
            </w:r>
          </w:p>
        </w:tc>
        <w:tc>
          <w:tcPr>
            <w:tcW w:w="2596" w:type="dxa"/>
          </w:tcPr>
          <w:p w14:paraId="254FCB0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模式：理论与实践结合：结合课堂讲授与实验室实践，确保学生既能掌握理论知识，又能通过亲手操作加深理解。利用线上资源（如视频讲座、三维解剖软件、虚拟实验室）与线下教学相结合，提供灵活多样的学习途径。</w:t>
            </w:r>
          </w:p>
          <w:p w14:paraId="0F47A71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教学方法：直观演示、分组讨论、模拟操作、翻转课堂等方法。</w:t>
            </w:r>
          </w:p>
          <w:p w14:paraId="718BE42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教学条件：现代化实验室、数字资源、专业师资等</w:t>
            </w:r>
          </w:p>
          <w:p w14:paraId="763D77E8">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评价建议：形成性评价：在学习过程中定期给予反馈，帮助学生及时调整学习策略。</w:t>
            </w:r>
          </w:p>
          <w:p w14:paraId="35277A00">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自我评价与同伴评价：鼓励学生自我反思学习过程，通过同伴评价促进相互学习和改进。实践能力考核：重视对解剖操作技能、空间理解能力和临床应用能力的评估。</w:t>
            </w:r>
          </w:p>
        </w:tc>
      </w:tr>
    </w:tbl>
    <w:p w14:paraId="6021DAC5">
      <w:pPr>
        <w:pageBreakBefore w:val="0"/>
        <w:kinsoku/>
        <w:wordWrap/>
        <w:overflowPunct/>
        <w:topLinePunct w:val="0"/>
        <w:bidi w:val="0"/>
        <w:snapToGrid/>
        <w:spacing w:line="360" w:lineRule="exact"/>
        <w:ind w:firstLine="422" w:firstLineChars="200"/>
        <w:jc w:val="left"/>
        <w:textAlignment w:val="auto"/>
        <w:rPr>
          <w:rFonts w:ascii="楷体_GB2312" w:hAnsi="楷体_GB2312" w:eastAsia="楷体_GB2312" w:cs="楷体_GB2312"/>
          <w:szCs w:val="21"/>
        </w:rPr>
      </w:pPr>
      <w:r>
        <w:rPr>
          <w:rFonts w:hint="eastAsia" w:ascii="宋体" w:hAnsi="宋体" w:cs="宋体"/>
          <w:b/>
          <w:bCs/>
          <w:szCs w:val="21"/>
        </w:rPr>
        <w:t>3.专业拓展课程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2700"/>
        <w:gridCol w:w="2767"/>
        <w:gridCol w:w="2579"/>
      </w:tblGrid>
      <w:tr w14:paraId="7BD0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4210EBF">
            <w:pPr>
              <w:pageBreakBefore w:val="0"/>
              <w:kinsoku/>
              <w:wordWrap/>
              <w:overflowPunct/>
              <w:topLinePunct w:val="0"/>
              <w:bidi w:val="0"/>
              <w:snapToGrid/>
              <w:spacing w:line="360" w:lineRule="exact"/>
              <w:jc w:val="center"/>
              <w:textAlignment w:val="auto"/>
              <w:rPr>
                <w:rFonts w:ascii="宋体" w:hAnsi="宋体" w:cs="宋体"/>
                <w:b/>
                <w:sz w:val="21"/>
                <w:szCs w:val="21"/>
              </w:rPr>
            </w:pPr>
            <w:r>
              <w:rPr>
                <w:rFonts w:hint="eastAsia" w:ascii="宋体" w:hAnsi="宋体" w:cs="宋体"/>
                <w:b/>
                <w:sz w:val="21"/>
                <w:szCs w:val="21"/>
              </w:rPr>
              <w:t>课程名称</w:t>
            </w:r>
          </w:p>
        </w:tc>
        <w:tc>
          <w:tcPr>
            <w:tcW w:w="2700" w:type="dxa"/>
            <w:vAlign w:val="center"/>
          </w:tcPr>
          <w:p w14:paraId="7B7CEBBE">
            <w:pPr>
              <w:pageBreakBefore w:val="0"/>
              <w:kinsoku/>
              <w:wordWrap/>
              <w:overflowPunct/>
              <w:topLinePunct w:val="0"/>
              <w:bidi w:val="0"/>
              <w:snapToGrid/>
              <w:spacing w:line="360" w:lineRule="exact"/>
              <w:jc w:val="center"/>
              <w:textAlignment w:val="auto"/>
              <w:rPr>
                <w:rFonts w:ascii="宋体" w:hAnsi="宋体" w:cs="宋体"/>
                <w:b/>
                <w:sz w:val="21"/>
                <w:szCs w:val="21"/>
              </w:rPr>
            </w:pPr>
            <w:r>
              <w:rPr>
                <w:rFonts w:hint="eastAsia" w:ascii="宋体" w:hAnsi="宋体" w:cs="宋体"/>
                <w:b/>
                <w:sz w:val="21"/>
                <w:szCs w:val="21"/>
              </w:rPr>
              <w:t>课程目标</w:t>
            </w:r>
          </w:p>
        </w:tc>
        <w:tc>
          <w:tcPr>
            <w:tcW w:w="2767" w:type="dxa"/>
            <w:vAlign w:val="center"/>
          </w:tcPr>
          <w:p w14:paraId="026DCB1D">
            <w:pPr>
              <w:pageBreakBefore w:val="0"/>
              <w:kinsoku/>
              <w:wordWrap/>
              <w:overflowPunct/>
              <w:topLinePunct w:val="0"/>
              <w:bidi w:val="0"/>
              <w:snapToGrid/>
              <w:spacing w:line="360" w:lineRule="exact"/>
              <w:jc w:val="center"/>
              <w:textAlignment w:val="auto"/>
              <w:rPr>
                <w:rFonts w:ascii="宋体" w:hAnsi="宋体" w:cs="宋体"/>
                <w:b/>
                <w:sz w:val="21"/>
                <w:szCs w:val="21"/>
              </w:rPr>
            </w:pPr>
            <w:r>
              <w:rPr>
                <w:rFonts w:hint="eastAsia" w:ascii="宋体" w:hAnsi="宋体" w:cs="宋体"/>
                <w:b/>
                <w:sz w:val="21"/>
                <w:szCs w:val="21"/>
              </w:rPr>
              <w:t>主要内容</w:t>
            </w:r>
          </w:p>
        </w:tc>
        <w:tc>
          <w:tcPr>
            <w:tcW w:w="2579" w:type="dxa"/>
            <w:vAlign w:val="center"/>
          </w:tcPr>
          <w:p w14:paraId="6E39DEF6">
            <w:pPr>
              <w:pageBreakBefore w:val="0"/>
              <w:kinsoku/>
              <w:wordWrap/>
              <w:overflowPunct/>
              <w:topLinePunct w:val="0"/>
              <w:bidi w:val="0"/>
              <w:snapToGrid/>
              <w:spacing w:line="360" w:lineRule="exact"/>
              <w:jc w:val="center"/>
              <w:textAlignment w:val="auto"/>
              <w:rPr>
                <w:rFonts w:ascii="宋体" w:hAnsi="宋体" w:cs="宋体"/>
                <w:b/>
                <w:sz w:val="21"/>
                <w:szCs w:val="21"/>
              </w:rPr>
            </w:pPr>
            <w:r>
              <w:rPr>
                <w:rFonts w:hint="eastAsia" w:ascii="宋体" w:hAnsi="宋体" w:cs="宋体"/>
                <w:b/>
                <w:sz w:val="21"/>
                <w:szCs w:val="21"/>
              </w:rPr>
              <w:t>教学要求</w:t>
            </w:r>
          </w:p>
        </w:tc>
      </w:tr>
      <w:tr w14:paraId="48ED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14D1FDD2">
            <w:pPr>
              <w:keepLines/>
              <w:pageBreakBefore w:val="0"/>
              <w:widowControl/>
              <w:kinsoku/>
              <w:wordWrap/>
              <w:overflowPunct/>
              <w:topLinePunct w:val="0"/>
              <w:bidi w:val="0"/>
              <w:snapToGrid/>
              <w:spacing w:line="360" w:lineRule="exact"/>
              <w:jc w:val="center"/>
              <w:textAlignment w:val="auto"/>
              <w:rPr>
                <w:rFonts w:ascii="宋体" w:hAnsi="宋体" w:cs="宋体"/>
                <w:b/>
                <w:bCs w:val="0"/>
                <w:color w:val="548DD4"/>
                <w:sz w:val="18"/>
                <w:szCs w:val="18"/>
              </w:rPr>
            </w:pPr>
            <w:r>
              <w:rPr>
                <w:rFonts w:hint="eastAsia" w:ascii="宋体" w:hAnsi="宋体" w:cs="宋体"/>
                <w:b/>
                <w:bCs w:val="0"/>
                <w:sz w:val="18"/>
                <w:szCs w:val="18"/>
              </w:rPr>
              <w:t>中国传统康复技术</w:t>
            </w:r>
          </w:p>
        </w:tc>
        <w:tc>
          <w:tcPr>
            <w:tcW w:w="2700" w:type="dxa"/>
          </w:tcPr>
          <w:p w14:paraId="19F17FA0">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知识目标：</w:t>
            </w:r>
          </w:p>
          <w:p w14:paraId="41BFD7B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深入理解中国传统医学的基本理论，包括阴阳五行、脏腑经络、气血津液等基本概念，以及这些理论在康复医学中的应用。</w:t>
            </w:r>
          </w:p>
          <w:p w14:paraId="7D2E88A5">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熟悉针灸、推拿（按摩）、拔罐、刮痧、中药熏蒸、太极拳、八段锦等传统康复技术的原理、操作方法及其适应症和禁忌症。</w:t>
            </w:r>
          </w:p>
          <w:p w14:paraId="6031DD9C">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能力目标：</w:t>
            </w:r>
          </w:p>
          <w:p w14:paraId="37CCF59C">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能够熟练掌握并安全地实施针灸、推拿、拔罐等至少几种传统康复技术，具备一定的临床操作能力。根据患者的具体病情，运用中医辨证论治原则，选择合适的康复方案，体现个性化治疗。</w:t>
            </w:r>
          </w:p>
          <w:p w14:paraId="09B6BCAE">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素质目标：</w:t>
            </w:r>
          </w:p>
          <w:p w14:paraId="16DD3CF0">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培养良好的医德医风，尊重患者，注重患者的心理和社会需求，提供人性化服务。</w:t>
            </w:r>
          </w:p>
          <w:p w14:paraId="08C95CA5">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培养批判性思维和创新能力，能够在传统与现代康复理念之间架起桥梁，促进中西医结合。</w:t>
            </w:r>
          </w:p>
          <w:p w14:paraId="2D5E9028">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激发学生对中医康复领域持续学习的兴趣和动力，适应医学发展的需要，不断提升个人专业素养。增强对中国传统文化的理解和尊重，同时具备向国际社会介绍和传播中国传统康复技术的能力，促进文化的交流与融合。</w:t>
            </w:r>
          </w:p>
        </w:tc>
        <w:tc>
          <w:tcPr>
            <w:tcW w:w="2767" w:type="dxa"/>
          </w:tcPr>
          <w:p w14:paraId="695ED799">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一：中国传统康复技术概论：中国传统康复技术的概念，介绍传统康复技术的基本定义和范畴。中国传统康复技术的发展简史，概述从古代到现代的发展历程，涉及各历史阶段的重要人物、著作和技术演变。中国传统康复技术的理论基础，包括中医基础理论（如阴阳五行、脏腑经络理论）及其在康复中的应用。</w:t>
            </w:r>
          </w:p>
          <w:p w14:paraId="07B7475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模块二：推拿技术：推拿的基本手法、操作技巧，以及在不同疾病治疗中的应用，如颈椎病、腰腿痛等。</w:t>
            </w:r>
          </w:p>
          <w:p w14:paraId="0E8E0D2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模块三：针灸技术：针灸理论基础，穴位定位，针刺手法，灸法种类，以及针灸在康复治疗中的作用和案例分析。</w:t>
            </w:r>
          </w:p>
          <w:p w14:paraId="4872522E">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模块四：中药康复：中药内服外用在康复中的应用，包括汤剂、丸剂、膏药等，以及药膳调理。</w:t>
            </w:r>
          </w:p>
          <w:p w14:paraId="4C46F794">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模块五：方法、适应症和禁忌症；刮痧的技巧、常用部位及其在康复中的作用。</w:t>
            </w:r>
          </w:p>
          <w:p w14:paraId="69F81B2A">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模块六：气功与太极：气功的基本理论、练功方法及其对身心健康的促进作用；太极拳的起源、基本动作、套路练习及其在康复中的应用。</w:t>
            </w:r>
          </w:p>
          <w:p w14:paraId="31BAABA6">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模块七：其他传统康复方法：如八段锦、五禽戏等传统健身方法，以及一些地方特色的康复技术。</w:t>
            </w:r>
          </w:p>
          <w:p w14:paraId="2BCF3F74">
            <w:pPr>
              <w:keepLines/>
              <w:pageBreakBefore w:val="0"/>
              <w:widowControl/>
              <w:kinsoku/>
              <w:wordWrap/>
              <w:overflowPunct/>
              <w:topLinePunct w:val="0"/>
              <w:bidi w:val="0"/>
              <w:snapToGrid/>
              <w:spacing w:line="360" w:lineRule="exact"/>
              <w:textAlignment w:val="auto"/>
              <w:rPr>
                <w:rFonts w:ascii="宋体" w:hAnsi="宋体" w:cs="宋体"/>
                <w:bCs/>
                <w:sz w:val="18"/>
                <w:szCs w:val="18"/>
              </w:rPr>
            </w:pPr>
          </w:p>
        </w:tc>
        <w:tc>
          <w:tcPr>
            <w:tcW w:w="2579" w:type="dxa"/>
          </w:tcPr>
          <w:p w14:paraId="2CBEF92A">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教学模式：理论知识与实践技能的紧密结合，即在讲解理论的同时，配以实际操作演示，让学生能够即时将学到的知识应用于实践中。</w:t>
            </w:r>
          </w:p>
          <w:p w14:paraId="3B633C2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方法：通过课堂讲授，向学生系统介绍中国传统康复技术的理论基础，如中医基础理论、经络腧穴知识、各种疗法的原理及其在康复医学中的应用。利用真实或模拟的临床案例，引导学生分析病情，讨论并设计针对性的康复方案，提高学生的临床思维和决策能力。</w:t>
            </w:r>
          </w:p>
          <w:p w14:paraId="721E8AD0">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条件：配备专业康复训练设备，如针灸模型、按摩床、拔罐器、刮痧板等，以及必要的医疗模拟器具，用于学生进行实践操作。多媒体教室：拥有投影仪、电脑等多媒体教学设备，以便展示教学视频、PPT及3D解剖模型等，增强教学的直观性和互动性。图书资料室：提供丰富的传统医学和康复技术相关的图书、期刊和电子资源，供学生查阅学习。由具备丰富临床经验和扎实理论基础的中医师、康复治疗师等组成，他们能将理论与实践紧密结合，有效传授知识。</w:t>
            </w:r>
          </w:p>
          <w:p w14:paraId="43343B7E">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评价建议：构建包括知识考核、技能操作、临床实习、小组讨论、研究报告等在内的多元化评价体系，既考查学生对理论知识的掌握，又评价其实践操作能力、团队协作、批判性思维和创新能力。重视学习过程中的表现，如课堂参与度、作业完成质量、日常实操练习等，同时关注最终技能操作考核和理论考试成绩，全面反映学生的学习进步和成果。</w:t>
            </w:r>
          </w:p>
          <w:p w14:paraId="0943F60D">
            <w:pPr>
              <w:keepLines/>
              <w:pageBreakBefore w:val="0"/>
              <w:widowControl/>
              <w:kinsoku/>
              <w:wordWrap/>
              <w:overflowPunct/>
              <w:topLinePunct w:val="0"/>
              <w:bidi w:val="0"/>
              <w:snapToGrid/>
              <w:spacing w:line="360" w:lineRule="exact"/>
              <w:textAlignment w:val="auto"/>
              <w:rPr>
                <w:rFonts w:ascii="宋体" w:hAnsi="宋体" w:cs="宋体"/>
                <w:bCs/>
                <w:sz w:val="18"/>
                <w:szCs w:val="18"/>
              </w:rPr>
            </w:pPr>
          </w:p>
        </w:tc>
      </w:tr>
      <w:tr w14:paraId="2F1E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7D9EE164">
            <w:pPr>
              <w:keepLines/>
              <w:pageBreakBefore w:val="0"/>
              <w:widowControl/>
              <w:kinsoku/>
              <w:wordWrap/>
              <w:overflowPunct/>
              <w:topLinePunct w:val="0"/>
              <w:bidi w:val="0"/>
              <w:snapToGrid/>
              <w:spacing w:line="360" w:lineRule="exact"/>
              <w:jc w:val="center"/>
              <w:textAlignment w:val="auto"/>
              <w:rPr>
                <w:rFonts w:ascii="宋体" w:hAnsi="宋体" w:cs="宋体"/>
                <w:b/>
                <w:bCs w:val="0"/>
                <w:sz w:val="18"/>
                <w:szCs w:val="18"/>
              </w:rPr>
            </w:pPr>
            <w:r>
              <w:rPr>
                <w:rFonts w:hint="eastAsia" w:ascii="宋体" w:hAnsi="宋体" w:cs="宋体"/>
                <w:b/>
                <w:bCs w:val="0"/>
                <w:sz w:val="18"/>
                <w:szCs w:val="18"/>
              </w:rPr>
              <w:t>急救知识与技术</w:t>
            </w:r>
          </w:p>
        </w:tc>
        <w:tc>
          <w:tcPr>
            <w:tcW w:w="2700" w:type="dxa"/>
          </w:tcPr>
          <w:p w14:paraId="6F34A4A8">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知识目标：</w:t>
            </w:r>
          </w:p>
          <w:p w14:paraId="17E18046">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掌握心肺复苏、海姆立克急救、头部外伤包扎、踝部外伤包扎、煤气中毒等急救方法。熟悉危急情况或意外伤害下进行初步护理的技能。了解常见急救技能的原理。</w:t>
            </w:r>
          </w:p>
          <w:p w14:paraId="25088380">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能力目标：</w:t>
            </w:r>
          </w:p>
          <w:p w14:paraId="357B0A70">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培养学生能及时识别常见急症的能力及综合分析能力；培养学生自救和救助他人的能力。</w:t>
            </w:r>
          </w:p>
          <w:p w14:paraId="0756D6C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素质目标：</w:t>
            </w:r>
          </w:p>
          <w:p w14:paraId="3F275CB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培养学生生珍爱生命、乐于助人的美好情感。培养学生具备沟通交流，团结协作的团队精神。培养学生的急救意识和救护理念。</w:t>
            </w:r>
          </w:p>
          <w:p w14:paraId="1E3200A4">
            <w:pPr>
              <w:keepLines/>
              <w:pageBreakBefore w:val="0"/>
              <w:widowControl/>
              <w:kinsoku/>
              <w:wordWrap/>
              <w:overflowPunct/>
              <w:topLinePunct w:val="0"/>
              <w:bidi w:val="0"/>
              <w:snapToGrid/>
              <w:spacing w:line="360" w:lineRule="exact"/>
              <w:textAlignment w:val="auto"/>
              <w:rPr>
                <w:rFonts w:ascii="宋体" w:hAnsi="宋体" w:cs="宋体"/>
                <w:bCs/>
                <w:sz w:val="18"/>
                <w:szCs w:val="18"/>
              </w:rPr>
            </w:pPr>
          </w:p>
        </w:tc>
        <w:tc>
          <w:tcPr>
            <w:tcW w:w="2767" w:type="dxa"/>
          </w:tcPr>
          <w:p w14:paraId="2BBE1F95">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模块一：心肺复苏技术</w:t>
            </w:r>
          </w:p>
          <w:p w14:paraId="01E8491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模块二：常用救护技术</w:t>
            </w:r>
          </w:p>
          <w:p w14:paraId="727E9DF4">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模块三：常见意外伤害急救技术等。</w:t>
            </w:r>
          </w:p>
        </w:tc>
        <w:tc>
          <w:tcPr>
            <w:tcW w:w="2579" w:type="dxa"/>
          </w:tcPr>
          <w:p w14:paraId="65F16D12">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模式：理论与实践结合：结合课堂讲授与实验室实践，确保学生既能掌握理论知识，又能通过亲手操作加深理解。利用线上资源（如视频讲座、三维解剖软件、虚拟实验室）与线下教学相结合，提供灵活多样的学习途径。</w:t>
            </w:r>
          </w:p>
          <w:p w14:paraId="5549E152">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教学方法：直观演示、分组讨论、模拟操作、翻转课堂等方法。</w:t>
            </w:r>
          </w:p>
          <w:p w14:paraId="25C9CC4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教学条件：现代化实验室、数字资源、专业师资等</w:t>
            </w:r>
          </w:p>
          <w:p w14:paraId="77B45D1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评价建议：形成性评价：在学习过程中定期给予反馈，帮助学生及时调整学习策略。</w:t>
            </w:r>
          </w:p>
          <w:p w14:paraId="6262570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自我评价与同伴评价：鼓励学生自我反思学习过程，通过同伴评价促进相互学习和改进。实践能力考核：重视对解剖操作技能、空间理解能力和临床应用能力的评估。</w:t>
            </w:r>
          </w:p>
        </w:tc>
      </w:tr>
      <w:tr w14:paraId="50DC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7A21024B">
            <w:pPr>
              <w:keepLines/>
              <w:pageBreakBefore w:val="0"/>
              <w:widowControl/>
              <w:kinsoku/>
              <w:wordWrap/>
              <w:overflowPunct/>
              <w:topLinePunct w:val="0"/>
              <w:bidi w:val="0"/>
              <w:snapToGrid/>
              <w:spacing w:line="360" w:lineRule="exact"/>
              <w:jc w:val="center"/>
              <w:textAlignment w:val="auto"/>
              <w:rPr>
                <w:rFonts w:ascii="宋体" w:hAnsi="宋体" w:cs="宋体"/>
                <w:b/>
                <w:bCs w:val="0"/>
                <w:sz w:val="18"/>
                <w:szCs w:val="18"/>
              </w:rPr>
            </w:pPr>
            <w:r>
              <w:rPr>
                <w:rFonts w:hint="eastAsia" w:ascii="宋体" w:hAnsi="宋体" w:cs="宋体"/>
                <w:b/>
                <w:bCs w:val="0"/>
                <w:sz w:val="18"/>
                <w:szCs w:val="18"/>
              </w:rPr>
              <w:t>老年营养与膳食指导</w:t>
            </w:r>
          </w:p>
        </w:tc>
        <w:tc>
          <w:tcPr>
            <w:tcW w:w="2700" w:type="dxa"/>
          </w:tcPr>
          <w:p w14:paraId="370BECEC">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知识目标：掌握老年人生理特点与营养需求的基本知识，了解各种营养素的生理功能及摄入量标准。</w:t>
            </w:r>
          </w:p>
          <w:p w14:paraId="4D5DE045">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能力目标：能够指导老年人选择适宜的食品，合理安排餐次与膳食结构，确保营养均衡摄入。</w:t>
            </w:r>
          </w:p>
          <w:p w14:paraId="772EDAA5">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素质目标：培养学生关爱老年人、尊重老年人的情感态度，树立全心全意为老年人服务的思想。</w:t>
            </w:r>
          </w:p>
        </w:tc>
        <w:tc>
          <w:tcPr>
            <w:tcW w:w="2767" w:type="dxa"/>
          </w:tcPr>
          <w:p w14:paraId="047901C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模块一：绪论</w:t>
            </w:r>
          </w:p>
          <w:p w14:paraId="636A69E8">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模块二：营养学基础</w:t>
            </w:r>
          </w:p>
          <w:p w14:paraId="0C0053F6">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模块三：老年人生理特点与营养需求</w:t>
            </w:r>
          </w:p>
          <w:p w14:paraId="023ABF3A">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模块四：老年人常见营养问题与膳食误区</w:t>
            </w:r>
          </w:p>
          <w:p w14:paraId="358DD2C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模块五：中国居民膳食指南与老年人膳食指南</w:t>
            </w:r>
          </w:p>
          <w:p w14:paraId="2E7CB89E">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模块六：老年人膳食指导实践</w:t>
            </w:r>
          </w:p>
          <w:p w14:paraId="480B1119">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模块七：营养咨询与宣传教育</w:t>
            </w:r>
          </w:p>
          <w:p w14:paraId="61216668">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模块八：食品安全与健康</w:t>
            </w:r>
          </w:p>
        </w:tc>
        <w:tc>
          <w:tcPr>
            <w:tcW w:w="2579" w:type="dxa"/>
          </w:tcPr>
          <w:p w14:paraId="3EBFC68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模式：理论与实践结合：结合课堂讲授与实验室实践，确保学生既能掌握理论知识，又能通过亲手操作加深理解。利用线上资源（如视频讲座、三维解剖软件、虚拟实验室）与线下教学相结合，提供灵活多样的学习途径。</w:t>
            </w:r>
          </w:p>
          <w:p w14:paraId="0F7C1775">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教学方法：直观演示、分组讨论、模拟操作、翻转课堂等方法。</w:t>
            </w:r>
          </w:p>
          <w:p w14:paraId="3D39D754">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教学条件：现代化实验室、数字资源、专业师资等</w:t>
            </w:r>
          </w:p>
          <w:p w14:paraId="467AFDD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评价建议：形成性评价：在学习过程中定期给予反馈，帮助学生及时调整学习策略。</w:t>
            </w:r>
          </w:p>
          <w:p w14:paraId="53C3BBDA">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自我评价与同伴评价：鼓励学生自我反思学习过程，通过同伴评价促进相互学习和改进。实践能力考核：重视对解剖操作技能、空间理解能力和临床应用能力的评估。</w:t>
            </w:r>
          </w:p>
        </w:tc>
      </w:tr>
      <w:tr w14:paraId="5FCB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896397C">
            <w:pPr>
              <w:keepLines/>
              <w:pageBreakBefore w:val="0"/>
              <w:widowControl/>
              <w:kinsoku/>
              <w:wordWrap/>
              <w:overflowPunct/>
              <w:topLinePunct w:val="0"/>
              <w:bidi w:val="0"/>
              <w:snapToGrid/>
              <w:spacing w:line="360" w:lineRule="exact"/>
              <w:jc w:val="center"/>
              <w:textAlignment w:val="auto"/>
              <w:rPr>
                <w:rFonts w:ascii="宋体" w:hAnsi="宋体" w:cs="宋体"/>
                <w:b/>
                <w:bCs w:val="0"/>
                <w:sz w:val="18"/>
                <w:szCs w:val="18"/>
              </w:rPr>
            </w:pPr>
            <w:r>
              <w:rPr>
                <w:rFonts w:hint="eastAsia" w:ascii="宋体" w:hAnsi="宋体" w:cs="宋体"/>
                <w:b/>
                <w:bCs w:val="0"/>
                <w:sz w:val="18"/>
                <w:szCs w:val="18"/>
              </w:rPr>
              <w:t>老年康体指导</w:t>
            </w:r>
          </w:p>
        </w:tc>
        <w:tc>
          <w:tcPr>
            <w:tcW w:w="2700" w:type="dxa"/>
          </w:tcPr>
          <w:p w14:paraId="65580670">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知识目标：</w:t>
            </w:r>
          </w:p>
          <w:p w14:paraId="6FC1008E">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掌握为自理老年人学练中国传统体育进行技术示范和技能指导，并且为自理老年人组织中国传统体育健康活动的相关知识。</w:t>
            </w:r>
          </w:p>
          <w:p w14:paraId="34177C3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能力目标：</w:t>
            </w:r>
          </w:p>
          <w:p w14:paraId="57DF08E4">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能为自理老年人学练中国传统体育进行健康评估和技能指导。</w:t>
            </w:r>
          </w:p>
          <w:p w14:paraId="015FD4B6">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素质目标：积极关注老年人的身心健康状况，树立正确的中国传统体育运动健康理念。</w:t>
            </w:r>
          </w:p>
        </w:tc>
        <w:tc>
          <w:tcPr>
            <w:tcW w:w="2767" w:type="dxa"/>
          </w:tcPr>
          <w:p w14:paraId="34EFB8C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模块一：中国传统体育活动健康评估</w:t>
            </w:r>
          </w:p>
          <w:p w14:paraId="1E9E8F6D">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模块二：中国传统体育技术指导</w:t>
            </w:r>
          </w:p>
          <w:p w14:paraId="7B7505B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模块三：中国传统体育活动组织</w:t>
            </w:r>
          </w:p>
          <w:p w14:paraId="25123A49">
            <w:pPr>
              <w:keepLines/>
              <w:pageBreakBefore w:val="0"/>
              <w:widowControl/>
              <w:kinsoku/>
              <w:wordWrap/>
              <w:overflowPunct/>
              <w:topLinePunct w:val="0"/>
              <w:bidi w:val="0"/>
              <w:snapToGrid/>
              <w:spacing w:line="360" w:lineRule="exact"/>
              <w:textAlignment w:val="auto"/>
              <w:rPr>
                <w:rFonts w:ascii="宋体" w:hAnsi="宋体" w:cs="宋体"/>
                <w:bCs/>
                <w:sz w:val="18"/>
                <w:szCs w:val="18"/>
              </w:rPr>
            </w:pPr>
          </w:p>
        </w:tc>
        <w:tc>
          <w:tcPr>
            <w:tcW w:w="2579" w:type="dxa"/>
          </w:tcPr>
          <w:p w14:paraId="0DD4D3F1">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模式：理论与实践结合：结合课堂讲授与实验室实践，确保学生既能掌握理论知识，又能通过亲手操作加深理解。利用线上资源（如视频讲座、三维解剖软件、虚拟实验室）与线下教学相结合，提供灵活多样的学习途径。</w:t>
            </w:r>
          </w:p>
          <w:p w14:paraId="7A58539D">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教学方法：直观演示、分组讨论、模拟操作、翻转课堂等方法。</w:t>
            </w:r>
          </w:p>
          <w:p w14:paraId="4F2D359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教学条件：现代化实验室、数字资源、专业师资等</w:t>
            </w:r>
          </w:p>
          <w:p w14:paraId="44C41C7E">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评价建议：形成性评价：在学习过程中定期给予反馈，帮助学生及时调整学习策略。</w:t>
            </w:r>
          </w:p>
          <w:p w14:paraId="438BE61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自我评价与同伴评价：鼓励学生自我反思学习过程，通过同伴评价促进相互学习和改进。实践能力考核：重视对解剖操作技能、空间理解能力和临床应用能力的评估。</w:t>
            </w:r>
          </w:p>
        </w:tc>
      </w:tr>
      <w:tr w14:paraId="21ED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5081375">
            <w:pPr>
              <w:keepLines/>
              <w:pageBreakBefore w:val="0"/>
              <w:widowControl/>
              <w:kinsoku/>
              <w:wordWrap/>
              <w:overflowPunct/>
              <w:topLinePunct w:val="0"/>
              <w:bidi w:val="0"/>
              <w:snapToGrid/>
              <w:spacing w:line="360" w:lineRule="exact"/>
              <w:jc w:val="center"/>
              <w:textAlignment w:val="auto"/>
              <w:rPr>
                <w:rFonts w:ascii="宋体" w:hAnsi="宋体" w:cs="宋体"/>
                <w:b/>
                <w:bCs w:val="0"/>
                <w:sz w:val="18"/>
                <w:szCs w:val="18"/>
              </w:rPr>
            </w:pPr>
            <w:r>
              <w:rPr>
                <w:rFonts w:hint="eastAsia" w:ascii="宋体" w:hAnsi="宋体" w:cs="宋体"/>
                <w:b/>
                <w:bCs w:val="0"/>
                <w:sz w:val="18"/>
                <w:szCs w:val="18"/>
              </w:rPr>
              <w:t>老年产品营销</w:t>
            </w:r>
          </w:p>
        </w:tc>
        <w:tc>
          <w:tcPr>
            <w:tcW w:w="2700" w:type="dxa"/>
          </w:tcPr>
          <w:p w14:paraId="72FB761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知识目标：</w:t>
            </w:r>
          </w:p>
          <w:p w14:paraId="2FF959E2">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理解老龄化社会与银发经济；洞察老年消费者行为与心理；掌握老年产品与服务特性；精通老年市场营销策略；熟悉老年营销伦理与法规。</w:t>
            </w:r>
          </w:p>
          <w:p w14:paraId="3418A76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能力目标：</w:t>
            </w:r>
          </w:p>
          <w:p w14:paraId="6E17D57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市场研究与需求洞察能力；产品/服务策划与适老化设计理解能力；营销策略制定与执行能力；沟通与销售能力；数据分析与效果评估能力。</w:t>
            </w:r>
          </w:p>
          <w:p w14:paraId="68F45BBE">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素质目标：</w:t>
            </w:r>
          </w:p>
          <w:p w14:paraId="1C098F84">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高度的社会责任感和伦理意识；深刻的同理心与用户视角；培养对老年人的耐心与包容心。</w:t>
            </w:r>
          </w:p>
        </w:tc>
        <w:tc>
          <w:tcPr>
            <w:tcW w:w="2767" w:type="dxa"/>
          </w:tcPr>
          <w:p w14:paraId="103F8AD0">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模块一：认识老年产品营销</w:t>
            </w:r>
          </w:p>
          <w:p w14:paraId="204EF7EE">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模块二：调研老年产品市场</w:t>
            </w:r>
          </w:p>
          <w:p w14:paraId="4CD93E94">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模块三：分析老年人消费行为</w:t>
            </w:r>
          </w:p>
          <w:p w14:paraId="2FF7211E">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模块四：分析市场与定位</w:t>
            </w:r>
          </w:p>
          <w:p w14:paraId="317AE17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模块五：制定产品营销策略</w:t>
            </w:r>
          </w:p>
          <w:p w14:paraId="5508357E">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模块六：设计与管理老年服务</w:t>
            </w:r>
          </w:p>
        </w:tc>
        <w:tc>
          <w:tcPr>
            <w:tcW w:w="2579" w:type="dxa"/>
          </w:tcPr>
          <w:p w14:paraId="389E189D">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模式：理论与实践结合：结合课堂讲授与实验室实践，确保学生既能掌握理论知识，又能通过亲手操作加深理解。利用线上资源（如视频讲座、三维解剖软件、虚拟实验室）与线下教学相结合，提供灵活多样的学习途径。</w:t>
            </w:r>
          </w:p>
          <w:p w14:paraId="6305EF7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教学方法：直观演示、分组讨论、模拟操作、翻转课堂等方法。</w:t>
            </w:r>
          </w:p>
          <w:p w14:paraId="10AC781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教学条件：现代化实验室、数字资源、专业师资等</w:t>
            </w:r>
          </w:p>
          <w:p w14:paraId="38D99DB5">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评价建议：形成性评价：在学习过程中定期给予反馈，帮助学生及时调整学习策略。</w:t>
            </w:r>
          </w:p>
          <w:p w14:paraId="169510D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自我评价与同伴评价：鼓励学生自我反思学习过程，通过同伴评价促进相互学习和改进。实践能力考核：重视对解剖操作技能、空间理解能力和临床应用能力的评估。</w:t>
            </w:r>
          </w:p>
        </w:tc>
      </w:tr>
      <w:tr w14:paraId="40E0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690CEF1A">
            <w:pPr>
              <w:keepLines/>
              <w:pageBreakBefore w:val="0"/>
              <w:widowControl/>
              <w:kinsoku/>
              <w:wordWrap/>
              <w:overflowPunct/>
              <w:topLinePunct w:val="0"/>
              <w:bidi w:val="0"/>
              <w:snapToGrid/>
              <w:spacing w:line="360" w:lineRule="exact"/>
              <w:jc w:val="center"/>
              <w:textAlignment w:val="auto"/>
              <w:rPr>
                <w:rFonts w:ascii="宋体" w:hAnsi="宋体" w:cs="宋体"/>
                <w:b/>
                <w:bCs w:val="0"/>
                <w:sz w:val="18"/>
                <w:szCs w:val="18"/>
              </w:rPr>
            </w:pPr>
            <w:r>
              <w:rPr>
                <w:rFonts w:hint="eastAsia" w:ascii="宋体" w:hAnsi="宋体" w:cs="宋体"/>
                <w:b/>
                <w:bCs w:val="0"/>
                <w:sz w:val="18"/>
                <w:szCs w:val="18"/>
              </w:rPr>
              <w:t>老年用药基本知识</w:t>
            </w:r>
          </w:p>
        </w:tc>
        <w:tc>
          <w:tcPr>
            <w:tcW w:w="2700" w:type="dxa"/>
          </w:tcPr>
          <w:p w14:paraId="34CC7638">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知识目标：</w:t>
            </w:r>
          </w:p>
          <w:p w14:paraId="264EE7DC">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掌握老年人药代动力学特点；熟记老年人用药原则；区分特殊剂型的正确用法；熟悉用药安全与法规。</w:t>
            </w:r>
          </w:p>
          <w:p w14:paraId="006A421C">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能力目标：</w:t>
            </w:r>
          </w:p>
          <w:p w14:paraId="65E4AC95">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能根据老年个体差异计算安全剂量；规范执行给药方式等操作；识别高危药物组合及时干预；能做好老年人用药健康教育。</w:t>
            </w:r>
          </w:p>
          <w:p w14:paraId="40EF77D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素质目标：</w:t>
            </w:r>
          </w:p>
          <w:p w14:paraId="45E82FD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培养学生的人文关怀与责任感；加强学生的伦理与法律意识；培养学生的严谨性与创新思维。</w:t>
            </w:r>
          </w:p>
        </w:tc>
        <w:tc>
          <w:tcPr>
            <w:tcW w:w="2767" w:type="dxa"/>
          </w:tcPr>
          <w:p w14:paraId="13E3E299">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模块一：老年药理学特殊性</w:t>
            </w:r>
          </w:p>
          <w:p w14:paraId="2FF7944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模块二：老年常见用药风险</w:t>
            </w:r>
          </w:p>
          <w:p w14:paraId="615228AC">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模块三：核心用药原则</w:t>
            </w:r>
          </w:p>
          <w:p w14:paraId="2A90AC2C">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模块四：特殊剂型操作规范</w:t>
            </w:r>
          </w:p>
          <w:p w14:paraId="6C1212DE">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模块五：药物相互作用预警</w:t>
            </w:r>
          </w:p>
        </w:tc>
        <w:tc>
          <w:tcPr>
            <w:tcW w:w="2579" w:type="dxa"/>
          </w:tcPr>
          <w:p w14:paraId="3AA00A6A">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模式：理论与实践结合：结合课堂讲授与实验室实践，确保学生既能掌握理论知识，又能通过亲手操作加深理解。利用线上资源（如视频讲座、三维解剖软件、虚拟实验室）与线下教学相结合，提供灵活多样的学习途径。</w:t>
            </w:r>
          </w:p>
          <w:p w14:paraId="09D6CAD4">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教学方法：直观演示、分组讨论、模拟操作、翻转课堂等方法。</w:t>
            </w:r>
          </w:p>
          <w:p w14:paraId="30F66CF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教学条件：现代化实验室、数字资源、专业师资等</w:t>
            </w:r>
          </w:p>
          <w:p w14:paraId="660F7EF4">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评价建议：形成性评价：在学习过程中定期给予反馈，帮助学生及时调整学习策略。</w:t>
            </w:r>
          </w:p>
          <w:p w14:paraId="376D8B22">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自我评价与同伴评价：鼓励学生自我反思学习过程，通过同伴评价促进相互学习和改进。实践能力考核：重视对解剖操作技能、空间理解能力和临床应用能力的评估。</w:t>
            </w:r>
          </w:p>
        </w:tc>
      </w:tr>
      <w:tr w14:paraId="1E9C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7562B115">
            <w:pPr>
              <w:keepLines/>
              <w:pageBreakBefore w:val="0"/>
              <w:widowControl/>
              <w:kinsoku/>
              <w:wordWrap/>
              <w:overflowPunct/>
              <w:topLinePunct w:val="0"/>
              <w:bidi w:val="0"/>
              <w:snapToGrid/>
              <w:spacing w:line="360" w:lineRule="exact"/>
              <w:jc w:val="center"/>
              <w:textAlignment w:val="auto"/>
              <w:rPr>
                <w:rFonts w:hint="default" w:ascii="宋体" w:hAnsi="宋体" w:eastAsia="宋体" w:cs="宋体"/>
                <w:b/>
                <w:bCs w:val="0"/>
                <w:sz w:val="18"/>
                <w:szCs w:val="18"/>
                <w:lang w:val="en-US" w:eastAsia="zh-CN"/>
              </w:rPr>
            </w:pPr>
            <w:r>
              <w:rPr>
                <w:rFonts w:hint="eastAsia" w:ascii="宋体" w:hAnsi="宋体" w:cs="宋体"/>
                <w:b/>
                <w:bCs w:val="0"/>
                <w:sz w:val="18"/>
                <w:szCs w:val="18"/>
                <w:lang w:val="en-US" w:eastAsia="zh-CN"/>
              </w:rPr>
              <w:t>老年人生活能力康复训练</w:t>
            </w:r>
          </w:p>
        </w:tc>
        <w:tc>
          <w:tcPr>
            <w:tcW w:w="2700" w:type="dxa"/>
          </w:tcPr>
          <w:p w14:paraId="4A80E66C">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知识目标：</w:t>
            </w:r>
          </w:p>
          <w:p w14:paraId="4825692D">
            <w:pPr>
              <w:keepLines/>
              <w:pageBreakBefore w:val="0"/>
              <w:widowControl/>
              <w:kinsoku/>
              <w:wordWrap/>
              <w:overflowPunct/>
              <w:topLinePunct w:val="0"/>
              <w:bidi w:val="0"/>
              <w:snapToGrid/>
              <w:spacing w:line="360" w:lineRule="exact"/>
              <w:textAlignment w:val="auto"/>
              <w:rPr>
                <w:rFonts w:hint="default" w:ascii="宋体" w:hAnsi="宋体" w:eastAsia="宋体" w:cs="宋体"/>
                <w:bCs/>
                <w:sz w:val="18"/>
                <w:szCs w:val="18"/>
                <w:lang w:val="en-US" w:eastAsia="zh-CN"/>
              </w:rPr>
            </w:pPr>
            <w:r>
              <w:rPr>
                <w:rFonts w:hint="eastAsia" w:ascii="宋体" w:hAnsi="宋体" w:cs="宋体"/>
                <w:bCs/>
                <w:sz w:val="18"/>
                <w:szCs w:val="18"/>
              </w:rPr>
              <w:t>掌握老年人</w:t>
            </w:r>
            <w:r>
              <w:rPr>
                <w:rFonts w:hint="eastAsia" w:ascii="宋体" w:hAnsi="宋体" w:cs="宋体"/>
                <w:bCs/>
                <w:sz w:val="18"/>
                <w:szCs w:val="18"/>
                <w:lang w:val="en-US" w:eastAsia="zh-CN"/>
              </w:rPr>
              <w:t>生活能力康复训练的基本概念、分类、作用机制及适应症与禁忌症，理解生理功能衰退与慢性疾病对日常生活能力的影响机制。熟悉康复训练的工作流程与注意事项。</w:t>
            </w:r>
          </w:p>
          <w:p w14:paraId="253F3135">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能力目标：</w:t>
            </w:r>
          </w:p>
          <w:p w14:paraId="39DFF137">
            <w:pPr>
              <w:keepLines/>
              <w:pageBreakBefore w:val="0"/>
              <w:widowControl/>
              <w:kinsoku/>
              <w:wordWrap/>
              <w:overflowPunct/>
              <w:topLinePunct w:val="0"/>
              <w:bidi w:val="0"/>
              <w:snapToGrid/>
              <w:spacing w:line="360" w:lineRule="exact"/>
              <w:textAlignment w:val="auto"/>
              <w:rPr>
                <w:rFonts w:hint="default" w:ascii="宋体" w:hAnsi="宋体" w:cs="宋体"/>
                <w:bCs/>
                <w:sz w:val="18"/>
                <w:szCs w:val="18"/>
                <w:lang w:val="en-US" w:eastAsia="zh-CN"/>
              </w:rPr>
            </w:pPr>
            <w:r>
              <w:rPr>
                <w:rFonts w:hint="eastAsia" w:ascii="宋体" w:hAnsi="宋体" w:cs="宋体"/>
                <w:bCs/>
                <w:sz w:val="18"/>
                <w:szCs w:val="18"/>
                <w:lang w:val="en-US" w:eastAsia="zh-CN"/>
              </w:rPr>
              <w:t>能通过科学评估工具分析老年人的生活能力现状，制定个性化的康复训练方案。</w:t>
            </w:r>
          </w:p>
          <w:p w14:paraId="483E46B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素质目标：</w:t>
            </w:r>
          </w:p>
          <w:p w14:paraId="18902CCA">
            <w:pPr>
              <w:keepLines/>
              <w:pageBreakBefore w:val="0"/>
              <w:widowControl/>
              <w:kinsoku/>
              <w:wordWrap/>
              <w:overflowPunct/>
              <w:topLinePunct w:val="0"/>
              <w:bidi w:val="0"/>
              <w:snapToGrid/>
              <w:spacing w:line="360" w:lineRule="exact"/>
              <w:textAlignment w:val="auto"/>
              <w:rPr>
                <w:rFonts w:hint="eastAsia" w:ascii="宋体" w:hAnsi="宋体" w:cs="宋体"/>
                <w:bCs/>
                <w:sz w:val="18"/>
                <w:szCs w:val="18"/>
              </w:rPr>
            </w:pPr>
            <w:r>
              <w:rPr>
                <w:rFonts w:hint="eastAsia" w:ascii="宋体" w:hAnsi="宋体" w:cs="宋体"/>
                <w:bCs/>
                <w:sz w:val="18"/>
                <w:szCs w:val="18"/>
              </w:rPr>
              <w:t>培养学生的人文关怀与责任感；加强学生的伦理与法律意识；培养学生的严谨性与创新思维。</w:t>
            </w:r>
          </w:p>
        </w:tc>
        <w:tc>
          <w:tcPr>
            <w:tcW w:w="2767" w:type="dxa"/>
          </w:tcPr>
          <w:p w14:paraId="419686EB">
            <w:pPr>
              <w:keepLines/>
              <w:pageBreakBefore w:val="0"/>
              <w:widowControl/>
              <w:kinsoku/>
              <w:wordWrap/>
              <w:overflowPunct/>
              <w:topLinePunct w:val="0"/>
              <w:bidi w:val="0"/>
              <w:snapToGrid/>
              <w:spacing w:line="360" w:lineRule="exact"/>
              <w:textAlignment w:val="auto"/>
              <w:rPr>
                <w:rFonts w:hint="eastAsia" w:ascii="宋体" w:hAnsi="宋体" w:eastAsia="宋体" w:cs="宋体"/>
                <w:bCs/>
                <w:sz w:val="18"/>
                <w:szCs w:val="18"/>
                <w:lang w:eastAsia="zh-CN"/>
              </w:rPr>
            </w:pPr>
            <w:r>
              <w:rPr>
                <w:rFonts w:hint="eastAsia" w:ascii="宋体" w:hAnsi="宋体" w:cs="宋体"/>
                <w:bCs/>
                <w:sz w:val="18"/>
                <w:szCs w:val="18"/>
              </w:rPr>
              <w:t>模块一：</w:t>
            </w:r>
            <w:r>
              <w:rPr>
                <w:rFonts w:hint="eastAsia" w:ascii="宋体" w:hAnsi="宋体" w:cs="宋体"/>
                <w:bCs/>
                <w:sz w:val="18"/>
                <w:szCs w:val="18"/>
                <w:lang w:val="en-US" w:eastAsia="zh-CN"/>
              </w:rPr>
              <w:t>康复理念导入</w:t>
            </w:r>
          </w:p>
          <w:p w14:paraId="3C293B50">
            <w:pPr>
              <w:keepLines/>
              <w:pageBreakBefore w:val="0"/>
              <w:widowControl/>
              <w:kinsoku/>
              <w:wordWrap/>
              <w:overflowPunct/>
              <w:topLinePunct w:val="0"/>
              <w:bidi w:val="0"/>
              <w:snapToGrid/>
              <w:spacing w:line="360" w:lineRule="exact"/>
              <w:textAlignment w:val="auto"/>
              <w:rPr>
                <w:rFonts w:hint="eastAsia" w:ascii="宋体" w:hAnsi="宋体" w:eastAsia="宋体" w:cs="宋体"/>
                <w:bCs/>
                <w:sz w:val="18"/>
                <w:szCs w:val="18"/>
                <w:lang w:eastAsia="zh-CN"/>
              </w:rPr>
            </w:pPr>
            <w:r>
              <w:rPr>
                <w:rFonts w:hint="eastAsia" w:ascii="宋体" w:hAnsi="宋体" w:cs="宋体"/>
                <w:bCs/>
                <w:sz w:val="18"/>
                <w:szCs w:val="18"/>
              </w:rPr>
              <w:t>模块二：</w:t>
            </w:r>
            <w:r>
              <w:rPr>
                <w:rFonts w:hint="eastAsia" w:ascii="宋体" w:hAnsi="宋体" w:cs="宋体"/>
                <w:bCs/>
                <w:sz w:val="18"/>
                <w:szCs w:val="18"/>
                <w:lang w:val="en-US" w:eastAsia="zh-CN"/>
              </w:rPr>
              <w:t>能力评估技术</w:t>
            </w:r>
          </w:p>
          <w:p w14:paraId="35AC1F91">
            <w:pPr>
              <w:keepLines/>
              <w:pageBreakBefore w:val="0"/>
              <w:widowControl/>
              <w:kinsoku/>
              <w:wordWrap/>
              <w:overflowPunct/>
              <w:topLinePunct w:val="0"/>
              <w:bidi w:val="0"/>
              <w:snapToGrid/>
              <w:spacing w:line="360" w:lineRule="exact"/>
              <w:textAlignment w:val="auto"/>
              <w:rPr>
                <w:rFonts w:hint="eastAsia" w:ascii="宋体" w:hAnsi="宋体" w:cs="宋体"/>
                <w:bCs/>
                <w:sz w:val="18"/>
                <w:szCs w:val="18"/>
                <w:lang w:val="en-US" w:eastAsia="zh-CN"/>
              </w:rPr>
            </w:pPr>
            <w:r>
              <w:rPr>
                <w:rFonts w:hint="eastAsia" w:ascii="宋体" w:hAnsi="宋体" w:cs="宋体"/>
                <w:bCs/>
                <w:sz w:val="18"/>
                <w:szCs w:val="18"/>
              </w:rPr>
              <w:t>模块三：</w:t>
            </w:r>
            <w:r>
              <w:rPr>
                <w:rFonts w:hint="eastAsia" w:ascii="宋体" w:hAnsi="宋体" w:cs="宋体"/>
                <w:bCs/>
                <w:sz w:val="18"/>
                <w:szCs w:val="18"/>
                <w:lang w:val="en-US" w:eastAsia="zh-CN"/>
              </w:rPr>
              <w:t>基础生活技能</w:t>
            </w:r>
          </w:p>
          <w:p w14:paraId="0A067B4D">
            <w:pPr>
              <w:keepLines/>
              <w:pageBreakBefore w:val="0"/>
              <w:widowControl/>
              <w:kinsoku/>
              <w:wordWrap/>
              <w:overflowPunct/>
              <w:topLinePunct w:val="0"/>
              <w:bidi w:val="0"/>
              <w:snapToGrid/>
              <w:spacing w:line="360" w:lineRule="exact"/>
              <w:textAlignment w:val="auto"/>
              <w:rPr>
                <w:rFonts w:hint="eastAsia" w:ascii="宋体" w:hAnsi="宋体" w:eastAsia="宋体" w:cs="宋体"/>
                <w:bCs/>
                <w:sz w:val="18"/>
                <w:szCs w:val="18"/>
                <w:lang w:eastAsia="zh-CN"/>
              </w:rPr>
            </w:pPr>
            <w:r>
              <w:rPr>
                <w:rFonts w:hint="eastAsia" w:ascii="宋体" w:hAnsi="宋体" w:cs="宋体"/>
                <w:bCs/>
                <w:sz w:val="18"/>
                <w:szCs w:val="18"/>
              </w:rPr>
              <w:t>模块四：</w:t>
            </w:r>
            <w:r>
              <w:rPr>
                <w:rFonts w:hint="eastAsia" w:ascii="宋体" w:hAnsi="宋体" w:cs="宋体"/>
                <w:bCs/>
                <w:sz w:val="18"/>
                <w:szCs w:val="18"/>
                <w:lang w:val="en-US" w:eastAsia="zh-CN"/>
              </w:rPr>
              <w:t>环境适应调整</w:t>
            </w:r>
          </w:p>
          <w:p w14:paraId="15D1FD3C">
            <w:pPr>
              <w:keepLines/>
              <w:pageBreakBefore w:val="0"/>
              <w:widowControl/>
              <w:kinsoku/>
              <w:wordWrap/>
              <w:overflowPunct/>
              <w:topLinePunct w:val="0"/>
              <w:bidi w:val="0"/>
              <w:snapToGrid/>
              <w:spacing w:line="360" w:lineRule="exact"/>
              <w:textAlignment w:val="auto"/>
              <w:rPr>
                <w:rFonts w:hint="eastAsia" w:ascii="宋体" w:hAnsi="宋体" w:cs="宋体"/>
                <w:bCs/>
                <w:sz w:val="18"/>
                <w:szCs w:val="18"/>
                <w:lang w:val="en-US" w:eastAsia="zh-CN"/>
              </w:rPr>
            </w:pPr>
            <w:r>
              <w:rPr>
                <w:rFonts w:hint="eastAsia" w:ascii="宋体" w:hAnsi="宋体" w:cs="宋体"/>
                <w:bCs/>
                <w:sz w:val="18"/>
                <w:szCs w:val="18"/>
              </w:rPr>
              <w:t>模块五：</w:t>
            </w:r>
            <w:r>
              <w:rPr>
                <w:rFonts w:hint="eastAsia" w:ascii="宋体" w:hAnsi="宋体" w:cs="宋体"/>
                <w:bCs/>
                <w:sz w:val="18"/>
                <w:szCs w:val="18"/>
                <w:lang w:val="en-US" w:eastAsia="zh-CN"/>
              </w:rPr>
              <w:t>基础运动训练</w:t>
            </w:r>
          </w:p>
          <w:p w14:paraId="360940C6">
            <w:pPr>
              <w:pStyle w:val="2"/>
              <w:pageBreakBefore w:val="0"/>
              <w:kinsoku/>
              <w:wordWrap/>
              <w:overflowPunct/>
              <w:topLinePunct w:val="0"/>
              <w:bidi w:val="0"/>
              <w:snapToGrid/>
              <w:spacing w:after="0" w:line="360" w:lineRule="exact"/>
              <w:textAlignment w:val="auto"/>
              <w:rPr>
                <w:rFonts w:hint="eastAsia" w:ascii="宋体" w:hAnsi="宋体" w:cs="宋体"/>
                <w:bCs/>
                <w:sz w:val="18"/>
                <w:szCs w:val="18"/>
                <w:lang w:val="en-US" w:eastAsia="zh-CN"/>
              </w:rPr>
            </w:pPr>
            <w:r>
              <w:rPr>
                <w:rFonts w:hint="eastAsia" w:ascii="宋体" w:hAnsi="宋体" w:cs="宋体"/>
                <w:bCs/>
                <w:sz w:val="18"/>
                <w:szCs w:val="18"/>
                <w:lang w:val="en-US" w:eastAsia="zh-CN"/>
              </w:rPr>
              <w:t>模块六：专项康复训练</w:t>
            </w:r>
          </w:p>
          <w:p w14:paraId="66E26ACC">
            <w:pPr>
              <w:pStyle w:val="2"/>
              <w:pageBreakBefore w:val="0"/>
              <w:kinsoku/>
              <w:wordWrap/>
              <w:overflowPunct/>
              <w:topLinePunct w:val="0"/>
              <w:bidi w:val="0"/>
              <w:snapToGrid/>
              <w:spacing w:after="0" w:line="360" w:lineRule="exact"/>
              <w:textAlignment w:val="auto"/>
              <w:rPr>
                <w:rFonts w:hint="default" w:ascii="宋体" w:hAnsi="宋体" w:cs="宋体"/>
                <w:bCs/>
                <w:sz w:val="18"/>
                <w:szCs w:val="18"/>
                <w:lang w:val="en-US" w:eastAsia="zh-CN"/>
              </w:rPr>
            </w:pPr>
            <w:r>
              <w:rPr>
                <w:rFonts w:hint="eastAsia" w:ascii="宋体" w:hAnsi="宋体" w:cs="宋体"/>
                <w:bCs/>
                <w:sz w:val="18"/>
                <w:szCs w:val="18"/>
                <w:lang w:val="en-US" w:eastAsia="zh-CN"/>
              </w:rPr>
              <w:t>模块七：认知与心理干预</w:t>
            </w:r>
          </w:p>
        </w:tc>
        <w:tc>
          <w:tcPr>
            <w:tcW w:w="2579" w:type="dxa"/>
          </w:tcPr>
          <w:p w14:paraId="4BCF90F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模式：理论与实践结合：结合课堂讲授与实验室实践，确保学生既能掌握理论知识，又能通过亲手操作加深理解。利用线上资源（如视频讲座、三维解剖软件、虚拟实验室）与线下教学相结合，提供灵活多样的学习途径。</w:t>
            </w:r>
          </w:p>
          <w:p w14:paraId="29BD123E">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教学方法：直观演示、分组讨论、模拟操作、翻转课堂等方法。</w:t>
            </w:r>
          </w:p>
          <w:p w14:paraId="3D0E745C">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教学条件：现代化实验室、数字资源、专业师资等</w:t>
            </w:r>
          </w:p>
          <w:p w14:paraId="5CD0370B">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评价建议：形成性评价：在学习过程中定期给予反馈，帮助学生及时调整学习策略。</w:t>
            </w:r>
          </w:p>
          <w:p w14:paraId="233341A9">
            <w:pPr>
              <w:keepLines/>
              <w:pageBreakBefore w:val="0"/>
              <w:widowControl/>
              <w:kinsoku/>
              <w:wordWrap/>
              <w:overflowPunct/>
              <w:topLinePunct w:val="0"/>
              <w:bidi w:val="0"/>
              <w:snapToGrid/>
              <w:spacing w:line="360" w:lineRule="exact"/>
              <w:textAlignment w:val="auto"/>
              <w:rPr>
                <w:rFonts w:hint="eastAsia" w:ascii="宋体" w:hAnsi="宋体" w:cs="宋体"/>
                <w:bCs/>
                <w:sz w:val="18"/>
                <w:szCs w:val="18"/>
              </w:rPr>
            </w:pPr>
            <w:r>
              <w:rPr>
                <w:rFonts w:hint="eastAsia" w:ascii="宋体" w:hAnsi="宋体" w:cs="宋体"/>
                <w:bCs/>
                <w:sz w:val="18"/>
                <w:szCs w:val="18"/>
              </w:rPr>
              <w:t>自我评价与同伴评价：鼓励学生自我反思学习过程，通过同伴评价促进相互学习和改进。实践能力考核：重视对解剖操作技能、空间理解能力和临床应用能力的评估。</w:t>
            </w:r>
          </w:p>
        </w:tc>
      </w:tr>
      <w:tr w14:paraId="1D7A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67F7A39">
            <w:pPr>
              <w:keepLines/>
              <w:pageBreakBefore w:val="0"/>
              <w:widowControl/>
              <w:kinsoku/>
              <w:wordWrap/>
              <w:overflowPunct/>
              <w:topLinePunct w:val="0"/>
              <w:bidi w:val="0"/>
              <w:snapToGrid/>
              <w:spacing w:line="360" w:lineRule="exact"/>
              <w:jc w:val="center"/>
              <w:textAlignment w:val="auto"/>
              <w:rPr>
                <w:rFonts w:hint="default" w:ascii="宋体" w:hAnsi="宋体" w:eastAsia="宋体" w:cs="宋体"/>
                <w:b/>
                <w:bCs w:val="0"/>
                <w:sz w:val="18"/>
                <w:szCs w:val="18"/>
                <w:lang w:val="en-US" w:eastAsia="zh-CN"/>
              </w:rPr>
            </w:pPr>
            <w:r>
              <w:rPr>
                <w:rFonts w:hint="eastAsia" w:ascii="宋体" w:hAnsi="宋体" w:cs="宋体"/>
                <w:b/>
                <w:bCs w:val="0"/>
                <w:sz w:val="18"/>
                <w:szCs w:val="18"/>
                <w:lang w:val="en-US" w:eastAsia="zh-CN"/>
              </w:rPr>
              <w:t>社区居家智慧康养管理</w:t>
            </w:r>
          </w:p>
        </w:tc>
        <w:tc>
          <w:tcPr>
            <w:tcW w:w="2700" w:type="dxa"/>
          </w:tcPr>
          <w:p w14:paraId="4B67695F">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知识目标：</w:t>
            </w:r>
          </w:p>
          <w:p w14:paraId="45F3A5E5">
            <w:pPr>
              <w:keepLines/>
              <w:pageBreakBefore w:val="0"/>
              <w:widowControl/>
              <w:kinsoku/>
              <w:wordWrap/>
              <w:overflowPunct/>
              <w:topLinePunct w:val="0"/>
              <w:bidi w:val="0"/>
              <w:snapToGrid/>
              <w:spacing w:line="360" w:lineRule="exact"/>
              <w:textAlignment w:val="auto"/>
              <w:rPr>
                <w:rFonts w:hint="default" w:ascii="宋体" w:hAnsi="宋体" w:eastAsia="宋体" w:cs="宋体"/>
                <w:bCs/>
                <w:sz w:val="18"/>
                <w:szCs w:val="18"/>
                <w:lang w:val="en-US" w:eastAsia="zh-CN"/>
              </w:rPr>
            </w:pPr>
            <w:r>
              <w:rPr>
                <w:rFonts w:hint="eastAsia" w:ascii="宋体" w:hAnsi="宋体" w:cs="宋体"/>
                <w:bCs/>
                <w:sz w:val="18"/>
                <w:szCs w:val="18"/>
              </w:rPr>
              <w:t>掌握</w:t>
            </w:r>
            <w:r>
              <w:rPr>
                <w:rFonts w:hint="eastAsia" w:ascii="宋体" w:hAnsi="宋体" w:cs="宋体"/>
                <w:bCs/>
                <w:sz w:val="18"/>
                <w:szCs w:val="18"/>
                <w:lang w:val="en-US" w:eastAsia="zh-CN"/>
              </w:rPr>
              <w:t>社区居家养老服务的政策法规、发展现状及趋势，理解其内涵与标准化建设要求。了解智慧养老技术应用场景，如智能设备、远程医疗及大数据分析在养老服务中的实践。</w:t>
            </w:r>
          </w:p>
          <w:p w14:paraId="7373F889">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能力目标：</w:t>
            </w:r>
          </w:p>
          <w:p w14:paraId="2EB41929">
            <w:pPr>
              <w:keepLines/>
              <w:pageBreakBefore w:val="0"/>
              <w:widowControl/>
              <w:kinsoku/>
              <w:wordWrap/>
              <w:overflowPunct/>
              <w:topLinePunct w:val="0"/>
              <w:bidi w:val="0"/>
              <w:snapToGrid/>
              <w:spacing w:line="360" w:lineRule="exact"/>
              <w:textAlignment w:val="auto"/>
              <w:rPr>
                <w:rFonts w:hint="default" w:ascii="宋体" w:hAnsi="宋体" w:cs="宋体"/>
                <w:bCs/>
                <w:sz w:val="18"/>
                <w:szCs w:val="18"/>
                <w:lang w:val="en-US" w:eastAsia="zh-CN"/>
              </w:rPr>
            </w:pPr>
            <w:r>
              <w:rPr>
                <w:rFonts w:hint="eastAsia" w:ascii="宋体" w:hAnsi="宋体" w:cs="宋体"/>
                <w:bCs/>
                <w:sz w:val="18"/>
                <w:szCs w:val="18"/>
                <w:lang w:val="en-US" w:eastAsia="zh-CN"/>
              </w:rPr>
              <w:t>能独立完成社区居家养老设施规划与运营管理，包括服务设计、供应商协调及志愿者团队管理。熟练运用智慧养老设备，如智能穿戴、健康检测系统等，提供技术支持与维护。</w:t>
            </w:r>
          </w:p>
          <w:p w14:paraId="1501FFC0">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素质目标：</w:t>
            </w:r>
          </w:p>
          <w:p w14:paraId="04C1FC38">
            <w:pPr>
              <w:keepLines/>
              <w:pageBreakBefore w:val="0"/>
              <w:widowControl/>
              <w:kinsoku/>
              <w:wordWrap/>
              <w:overflowPunct/>
              <w:topLinePunct w:val="0"/>
              <w:bidi w:val="0"/>
              <w:snapToGrid/>
              <w:spacing w:line="360" w:lineRule="exact"/>
              <w:textAlignment w:val="auto"/>
              <w:rPr>
                <w:rFonts w:hint="default" w:ascii="宋体" w:hAnsi="宋体" w:eastAsia="宋体" w:cs="宋体"/>
                <w:bCs/>
                <w:sz w:val="18"/>
                <w:szCs w:val="18"/>
                <w:lang w:val="en-US" w:eastAsia="zh-CN"/>
              </w:rPr>
            </w:pPr>
            <w:r>
              <w:rPr>
                <w:rFonts w:hint="eastAsia" w:ascii="宋体" w:hAnsi="宋体" w:cs="宋体"/>
                <w:bCs/>
                <w:sz w:val="18"/>
                <w:szCs w:val="18"/>
              </w:rPr>
              <w:t>培养学生的</w:t>
            </w:r>
            <w:r>
              <w:rPr>
                <w:rFonts w:hint="eastAsia" w:ascii="宋体" w:hAnsi="宋体" w:cs="宋体"/>
                <w:bCs/>
                <w:sz w:val="18"/>
                <w:szCs w:val="18"/>
                <w:lang w:val="en-US" w:eastAsia="zh-CN"/>
              </w:rPr>
              <w:t>同理心与尊重意识，强化职业道德，遵守隐私保护规范，保持服务中的安全意识与奉献精神。</w:t>
            </w:r>
          </w:p>
        </w:tc>
        <w:tc>
          <w:tcPr>
            <w:tcW w:w="2767" w:type="dxa"/>
          </w:tcPr>
          <w:p w14:paraId="339003D1">
            <w:pPr>
              <w:keepLines/>
              <w:pageBreakBefore w:val="0"/>
              <w:widowControl/>
              <w:kinsoku/>
              <w:wordWrap/>
              <w:overflowPunct/>
              <w:topLinePunct w:val="0"/>
              <w:bidi w:val="0"/>
              <w:snapToGrid/>
              <w:spacing w:line="360" w:lineRule="exact"/>
              <w:textAlignment w:val="auto"/>
              <w:rPr>
                <w:rFonts w:hint="default" w:ascii="宋体" w:hAnsi="宋体" w:eastAsia="宋体" w:cs="宋体"/>
                <w:bCs/>
                <w:sz w:val="18"/>
                <w:szCs w:val="18"/>
                <w:lang w:val="en-US" w:eastAsia="zh-CN"/>
              </w:rPr>
            </w:pPr>
            <w:r>
              <w:rPr>
                <w:rFonts w:hint="eastAsia" w:ascii="宋体" w:hAnsi="宋体" w:cs="宋体"/>
                <w:bCs/>
                <w:sz w:val="18"/>
                <w:szCs w:val="18"/>
              </w:rPr>
              <w:t>模块一：</w:t>
            </w:r>
            <w:r>
              <w:rPr>
                <w:rFonts w:hint="eastAsia" w:ascii="宋体" w:hAnsi="宋体" w:cs="宋体"/>
                <w:bCs/>
                <w:sz w:val="18"/>
                <w:szCs w:val="18"/>
                <w:lang w:val="en-US" w:eastAsia="zh-CN"/>
              </w:rPr>
              <w:t>基础理论与政策法规</w:t>
            </w:r>
          </w:p>
          <w:p w14:paraId="593E1E69">
            <w:pPr>
              <w:keepLines/>
              <w:pageBreakBefore w:val="0"/>
              <w:widowControl/>
              <w:kinsoku/>
              <w:wordWrap/>
              <w:overflowPunct/>
              <w:topLinePunct w:val="0"/>
              <w:bidi w:val="0"/>
              <w:snapToGrid/>
              <w:spacing w:line="360" w:lineRule="exact"/>
              <w:textAlignment w:val="auto"/>
              <w:rPr>
                <w:rFonts w:hint="default" w:ascii="宋体" w:hAnsi="宋体" w:eastAsia="宋体" w:cs="宋体"/>
                <w:bCs/>
                <w:sz w:val="18"/>
                <w:szCs w:val="18"/>
                <w:lang w:val="en-US" w:eastAsia="zh-CN"/>
              </w:rPr>
            </w:pPr>
            <w:r>
              <w:rPr>
                <w:rFonts w:hint="eastAsia" w:ascii="宋体" w:hAnsi="宋体" w:cs="宋体"/>
                <w:bCs/>
                <w:sz w:val="18"/>
                <w:szCs w:val="18"/>
              </w:rPr>
              <w:t>模块二：</w:t>
            </w:r>
            <w:r>
              <w:rPr>
                <w:rFonts w:hint="eastAsia" w:ascii="宋体" w:hAnsi="宋体" w:cs="宋体"/>
                <w:bCs/>
                <w:sz w:val="18"/>
                <w:szCs w:val="18"/>
                <w:lang w:val="en-US" w:eastAsia="zh-CN"/>
              </w:rPr>
              <w:t>服务需求评估与开发</w:t>
            </w:r>
          </w:p>
          <w:p w14:paraId="704C644D">
            <w:pPr>
              <w:keepLines/>
              <w:pageBreakBefore w:val="0"/>
              <w:widowControl/>
              <w:kinsoku/>
              <w:wordWrap/>
              <w:overflowPunct/>
              <w:topLinePunct w:val="0"/>
              <w:bidi w:val="0"/>
              <w:snapToGrid/>
              <w:spacing w:line="360" w:lineRule="exact"/>
              <w:textAlignment w:val="auto"/>
              <w:rPr>
                <w:rFonts w:hint="eastAsia" w:ascii="宋体" w:hAnsi="宋体" w:eastAsia="宋体" w:cs="宋体"/>
                <w:bCs/>
                <w:sz w:val="18"/>
                <w:szCs w:val="18"/>
                <w:lang w:eastAsia="zh-CN"/>
              </w:rPr>
            </w:pPr>
            <w:r>
              <w:rPr>
                <w:rFonts w:hint="eastAsia" w:ascii="宋体" w:hAnsi="宋体" w:cs="宋体"/>
                <w:bCs/>
                <w:sz w:val="18"/>
                <w:szCs w:val="18"/>
              </w:rPr>
              <w:t>模块三：</w:t>
            </w:r>
            <w:r>
              <w:rPr>
                <w:rFonts w:hint="eastAsia" w:ascii="宋体" w:hAnsi="宋体" w:cs="宋体"/>
                <w:bCs/>
                <w:sz w:val="18"/>
                <w:szCs w:val="18"/>
                <w:lang w:val="en-US" w:eastAsia="zh-CN"/>
              </w:rPr>
              <w:t>服务质量控制</w:t>
            </w:r>
          </w:p>
          <w:p w14:paraId="2C4C6872">
            <w:pPr>
              <w:keepLines/>
              <w:pageBreakBefore w:val="0"/>
              <w:widowControl/>
              <w:kinsoku/>
              <w:wordWrap/>
              <w:overflowPunct/>
              <w:topLinePunct w:val="0"/>
              <w:bidi w:val="0"/>
              <w:snapToGrid/>
              <w:spacing w:line="360" w:lineRule="exact"/>
              <w:textAlignment w:val="auto"/>
              <w:rPr>
                <w:rFonts w:hint="default" w:ascii="宋体" w:hAnsi="宋体" w:eastAsia="宋体" w:cs="宋体"/>
                <w:bCs/>
                <w:sz w:val="18"/>
                <w:szCs w:val="18"/>
                <w:lang w:val="en-US" w:eastAsia="zh-CN"/>
              </w:rPr>
            </w:pPr>
            <w:r>
              <w:rPr>
                <w:rFonts w:hint="eastAsia" w:ascii="宋体" w:hAnsi="宋体" w:cs="宋体"/>
                <w:bCs/>
                <w:sz w:val="18"/>
                <w:szCs w:val="18"/>
              </w:rPr>
              <w:t>模块四：</w:t>
            </w:r>
            <w:r>
              <w:rPr>
                <w:rFonts w:hint="eastAsia" w:ascii="宋体" w:hAnsi="宋体" w:cs="宋体"/>
                <w:bCs/>
                <w:sz w:val="18"/>
                <w:szCs w:val="18"/>
                <w:lang w:val="en-US" w:eastAsia="zh-CN"/>
              </w:rPr>
              <w:t>智慧化运营技术应用</w:t>
            </w:r>
          </w:p>
          <w:p w14:paraId="716EC379">
            <w:pPr>
              <w:keepLines/>
              <w:pageBreakBefore w:val="0"/>
              <w:widowControl/>
              <w:kinsoku/>
              <w:wordWrap/>
              <w:overflowPunct/>
              <w:topLinePunct w:val="0"/>
              <w:bidi w:val="0"/>
              <w:snapToGrid/>
              <w:spacing w:line="360" w:lineRule="exact"/>
              <w:textAlignment w:val="auto"/>
              <w:rPr>
                <w:rFonts w:hint="default" w:ascii="宋体" w:hAnsi="宋体" w:eastAsia="宋体" w:cs="宋体"/>
                <w:bCs/>
                <w:sz w:val="18"/>
                <w:szCs w:val="18"/>
                <w:lang w:val="en-US" w:eastAsia="zh-CN"/>
              </w:rPr>
            </w:pPr>
            <w:r>
              <w:rPr>
                <w:rFonts w:hint="eastAsia" w:ascii="宋体" w:hAnsi="宋体" w:cs="宋体"/>
                <w:bCs/>
                <w:sz w:val="18"/>
                <w:szCs w:val="18"/>
              </w:rPr>
              <w:t>模块五：</w:t>
            </w:r>
            <w:r>
              <w:rPr>
                <w:rFonts w:hint="eastAsia" w:ascii="宋体" w:hAnsi="宋体" w:cs="宋体"/>
                <w:bCs/>
                <w:sz w:val="18"/>
                <w:szCs w:val="18"/>
                <w:lang w:val="en-US" w:eastAsia="zh-CN"/>
              </w:rPr>
              <w:t>实践技能与职业素养</w:t>
            </w:r>
          </w:p>
        </w:tc>
        <w:tc>
          <w:tcPr>
            <w:tcW w:w="2579" w:type="dxa"/>
          </w:tcPr>
          <w:p w14:paraId="44B97D0D">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模式：理论与实践结合：结合课堂讲授与实验室实践，确保学生既能掌握理论知识，又能通过亲手操作加深理解。利用线上资源（如视频讲座、三维解剖软件、虚拟实验室）与线下教学相结合，提供灵活多样的学习途径。</w:t>
            </w:r>
          </w:p>
          <w:p w14:paraId="1FFB3AEA">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教学方法：直观演示、分组讨论、模拟操作、翻转课堂等方法。</w:t>
            </w:r>
          </w:p>
          <w:p w14:paraId="69A58117">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教学条件：现代化实验室、数字资源、专业师资等</w:t>
            </w:r>
          </w:p>
          <w:p w14:paraId="45D7DEE3">
            <w:pPr>
              <w:keepLines/>
              <w:pageBreakBefore w:val="0"/>
              <w:widowControl/>
              <w:kinsoku/>
              <w:wordWrap/>
              <w:overflowPunct/>
              <w:topLinePunct w:val="0"/>
              <w:bidi w:val="0"/>
              <w:snapToGrid/>
              <w:spacing w:line="360" w:lineRule="exact"/>
              <w:textAlignment w:val="auto"/>
              <w:rPr>
                <w:rFonts w:ascii="宋体" w:hAnsi="宋体" w:cs="宋体"/>
                <w:bCs/>
                <w:sz w:val="18"/>
                <w:szCs w:val="18"/>
              </w:rPr>
            </w:pPr>
            <w:r>
              <w:rPr>
                <w:rFonts w:hint="eastAsia" w:ascii="宋体" w:hAnsi="宋体" w:cs="宋体"/>
                <w:bCs/>
                <w:sz w:val="18"/>
                <w:szCs w:val="18"/>
              </w:rPr>
              <w:t>评价建议：形成性评价：在学习过程中定期给予反馈，帮助学生及时调整学习策略。</w:t>
            </w:r>
          </w:p>
          <w:p w14:paraId="259D5C63">
            <w:pPr>
              <w:keepLines/>
              <w:pageBreakBefore w:val="0"/>
              <w:widowControl/>
              <w:kinsoku/>
              <w:wordWrap/>
              <w:overflowPunct/>
              <w:topLinePunct w:val="0"/>
              <w:bidi w:val="0"/>
              <w:snapToGrid/>
              <w:spacing w:line="360" w:lineRule="exact"/>
              <w:textAlignment w:val="auto"/>
              <w:rPr>
                <w:rFonts w:hint="eastAsia" w:ascii="宋体" w:hAnsi="宋体" w:cs="宋体"/>
                <w:bCs/>
                <w:sz w:val="18"/>
                <w:szCs w:val="18"/>
              </w:rPr>
            </w:pPr>
            <w:r>
              <w:rPr>
                <w:rFonts w:hint="eastAsia" w:ascii="宋体" w:hAnsi="宋体" w:cs="宋体"/>
                <w:bCs/>
                <w:sz w:val="18"/>
                <w:szCs w:val="18"/>
              </w:rPr>
              <w:t>自我评价与同伴评价：鼓励学生自我反思学习过程，通过同伴评价促进相互学习和改进。实践能力考核：重视对解剖操作技能、空间理解能力和临床应用能力的评估。</w:t>
            </w:r>
          </w:p>
        </w:tc>
      </w:tr>
    </w:tbl>
    <w:p w14:paraId="21750565">
      <w:pPr>
        <w:pageBreakBefore w:val="0"/>
        <w:kinsoku/>
        <w:wordWrap/>
        <w:overflowPunct/>
        <w:topLinePunct w:val="0"/>
        <w:bidi w:val="0"/>
        <w:snapToGrid/>
        <w:spacing w:line="360" w:lineRule="exact"/>
        <w:ind w:firstLine="422" w:firstLineChars="200"/>
        <w:jc w:val="left"/>
        <w:textAlignment w:val="auto"/>
        <w:rPr>
          <w:color w:val="FF0000"/>
          <w:sz w:val="18"/>
          <w:szCs w:val="18"/>
        </w:rPr>
      </w:pPr>
      <w:r>
        <w:rPr>
          <w:rFonts w:hint="eastAsia" w:ascii="宋体" w:hAnsi="宋体" w:cs="宋体"/>
          <w:b/>
          <w:bCs/>
          <w:szCs w:val="21"/>
        </w:rPr>
        <w:t>4.专业实践课程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2667"/>
        <w:gridCol w:w="2783"/>
        <w:gridCol w:w="2563"/>
      </w:tblGrid>
      <w:tr w14:paraId="34A3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14:paraId="29F547C3">
            <w:pPr>
              <w:pageBreakBefore w:val="0"/>
              <w:kinsoku/>
              <w:wordWrap/>
              <w:overflowPunct/>
              <w:topLinePunct w:val="0"/>
              <w:bidi w:val="0"/>
              <w:snapToGrid/>
              <w:spacing w:line="360" w:lineRule="exact"/>
              <w:jc w:val="center"/>
              <w:textAlignment w:val="auto"/>
              <w:rPr>
                <w:rFonts w:ascii="宋体" w:hAnsi="宋体" w:cs="宋体"/>
                <w:b/>
                <w:sz w:val="21"/>
                <w:szCs w:val="21"/>
              </w:rPr>
            </w:pPr>
            <w:r>
              <w:rPr>
                <w:rFonts w:hint="eastAsia" w:ascii="宋体" w:hAnsi="宋体" w:cs="宋体"/>
                <w:b/>
                <w:sz w:val="21"/>
                <w:szCs w:val="21"/>
              </w:rPr>
              <w:t>课程名称</w:t>
            </w:r>
          </w:p>
        </w:tc>
        <w:tc>
          <w:tcPr>
            <w:tcW w:w="2667" w:type="dxa"/>
            <w:vAlign w:val="center"/>
          </w:tcPr>
          <w:p w14:paraId="2C939304">
            <w:pPr>
              <w:pageBreakBefore w:val="0"/>
              <w:kinsoku/>
              <w:wordWrap/>
              <w:overflowPunct/>
              <w:topLinePunct w:val="0"/>
              <w:bidi w:val="0"/>
              <w:snapToGrid/>
              <w:spacing w:line="360" w:lineRule="exact"/>
              <w:jc w:val="center"/>
              <w:textAlignment w:val="auto"/>
              <w:rPr>
                <w:rFonts w:ascii="宋体" w:hAnsi="宋体" w:cs="宋体"/>
                <w:b/>
                <w:sz w:val="21"/>
                <w:szCs w:val="21"/>
              </w:rPr>
            </w:pPr>
            <w:r>
              <w:rPr>
                <w:rFonts w:hint="eastAsia" w:ascii="宋体" w:hAnsi="宋体" w:cs="宋体"/>
                <w:b/>
                <w:sz w:val="21"/>
                <w:szCs w:val="21"/>
              </w:rPr>
              <w:t>课程目标</w:t>
            </w:r>
          </w:p>
        </w:tc>
        <w:tc>
          <w:tcPr>
            <w:tcW w:w="2783" w:type="dxa"/>
            <w:vAlign w:val="center"/>
          </w:tcPr>
          <w:p w14:paraId="67BAD243">
            <w:pPr>
              <w:pageBreakBefore w:val="0"/>
              <w:kinsoku/>
              <w:wordWrap/>
              <w:overflowPunct/>
              <w:topLinePunct w:val="0"/>
              <w:bidi w:val="0"/>
              <w:snapToGrid/>
              <w:spacing w:line="360" w:lineRule="exact"/>
              <w:jc w:val="center"/>
              <w:textAlignment w:val="auto"/>
              <w:rPr>
                <w:rFonts w:ascii="宋体" w:hAnsi="宋体" w:cs="宋体"/>
                <w:b/>
                <w:sz w:val="21"/>
                <w:szCs w:val="21"/>
              </w:rPr>
            </w:pPr>
            <w:r>
              <w:rPr>
                <w:rFonts w:hint="eastAsia" w:ascii="宋体" w:hAnsi="宋体" w:cs="宋体"/>
                <w:b/>
                <w:sz w:val="21"/>
                <w:szCs w:val="21"/>
              </w:rPr>
              <w:t>主要内容</w:t>
            </w:r>
          </w:p>
        </w:tc>
        <w:tc>
          <w:tcPr>
            <w:tcW w:w="2563" w:type="dxa"/>
            <w:vAlign w:val="center"/>
          </w:tcPr>
          <w:p w14:paraId="7D4F643E">
            <w:pPr>
              <w:pageBreakBefore w:val="0"/>
              <w:kinsoku/>
              <w:wordWrap/>
              <w:overflowPunct/>
              <w:topLinePunct w:val="0"/>
              <w:bidi w:val="0"/>
              <w:snapToGrid/>
              <w:spacing w:line="360" w:lineRule="exact"/>
              <w:jc w:val="center"/>
              <w:textAlignment w:val="auto"/>
              <w:rPr>
                <w:rFonts w:ascii="宋体" w:hAnsi="宋体" w:cs="宋体"/>
                <w:b/>
                <w:sz w:val="21"/>
                <w:szCs w:val="21"/>
              </w:rPr>
            </w:pPr>
            <w:r>
              <w:rPr>
                <w:rFonts w:hint="eastAsia" w:ascii="宋体" w:hAnsi="宋体" w:cs="宋体"/>
                <w:b/>
                <w:sz w:val="21"/>
                <w:szCs w:val="21"/>
              </w:rPr>
              <w:t>教学要求</w:t>
            </w:r>
          </w:p>
        </w:tc>
      </w:tr>
      <w:tr w14:paraId="7F25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14:paraId="5E201BDA">
            <w:pPr>
              <w:pageBreakBefore w:val="0"/>
              <w:kinsoku/>
              <w:wordWrap/>
              <w:overflowPunct/>
              <w:topLinePunct w:val="0"/>
              <w:bidi w:val="0"/>
              <w:snapToGrid/>
              <w:spacing w:line="360" w:lineRule="exact"/>
              <w:jc w:val="center"/>
              <w:textAlignment w:val="auto"/>
              <w:rPr>
                <w:rFonts w:ascii="宋体" w:hAnsi="宋体" w:cs="宋体"/>
                <w:b/>
                <w:bCs w:val="0"/>
                <w:sz w:val="18"/>
                <w:szCs w:val="18"/>
              </w:rPr>
            </w:pPr>
            <w:r>
              <w:rPr>
                <w:rFonts w:hint="eastAsia" w:ascii="宋体" w:hAnsi="宋体" w:cs="宋体"/>
                <w:b/>
                <w:bCs w:val="0"/>
                <w:sz w:val="18"/>
                <w:szCs w:val="18"/>
              </w:rPr>
              <w:t>岗位实习</w:t>
            </w:r>
          </w:p>
        </w:tc>
        <w:tc>
          <w:tcPr>
            <w:tcW w:w="2667" w:type="dxa"/>
          </w:tcPr>
          <w:p w14:paraId="388B9A58">
            <w:pPr>
              <w:pageBreakBefore w:val="0"/>
              <w:kinsoku/>
              <w:wordWrap/>
              <w:overflowPunct/>
              <w:topLinePunct w:val="0"/>
              <w:bidi w:val="0"/>
              <w:snapToGrid/>
              <w:spacing w:line="360" w:lineRule="exact"/>
              <w:ind w:firstLine="360" w:firstLineChars="200"/>
              <w:jc w:val="both"/>
              <w:textAlignment w:val="auto"/>
              <w:rPr>
                <w:rFonts w:ascii="宋体" w:hAnsi="宋体" w:cs="宋体"/>
                <w:bCs/>
                <w:sz w:val="18"/>
                <w:szCs w:val="18"/>
              </w:rPr>
            </w:pPr>
            <w:r>
              <w:rPr>
                <w:rFonts w:hint="eastAsia" w:ascii="宋体" w:hAnsi="宋体" w:cs="宋体"/>
                <w:bCs/>
                <w:sz w:val="18"/>
                <w:szCs w:val="18"/>
              </w:rPr>
              <w:t>岗位实习是教学计划的重要部分，是实践性教学的重要环节，是实现培养目标的最后教学阶段。其目的是培养学生运用所学的理论知识独立分析问题、解决问题的能力和科学思维方法，树立良好的职业素养和爱岗敬业精神；巩固和提高所学的基础理论，加强技能和实践工作能力，为毕业后的工作打下良好的基础。</w:t>
            </w:r>
          </w:p>
        </w:tc>
        <w:tc>
          <w:tcPr>
            <w:tcW w:w="2783" w:type="dxa"/>
          </w:tcPr>
          <w:p w14:paraId="62E1B854">
            <w:pPr>
              <w:pageBreakBefore w:val="0"/>
              <w:kinsoku/>
              <w:wordWrap/>
              <w:overflowPunct/>
              <w:topLinePunct w:val="0"/>
              <w:bidi w:val="0"/>
              <w:snapToGrid/>
              <w:spacing w:line="360" w:lineRule="exact"/>
              <w:ind w:firstLine="360" w:firstLineChars="200"/>
              <w:jc w:val="both"/>
              <w:textAlignment w:val="auto"/>
              <w:rPr>
                <w:rFonts w:ascii="宋体" w:hAnsi="宋体" w:cs="宋体"/>
                <w:bCs/>
                <w:sz w:val="18"/>
                <w:szCs w:val="18"/>
              </w:rPr>
            </w:pPr>
            <w:r>
              <w:rPr>
                <w:rFonts w:hint="eastAsia" w:ascii="宋体" w:hAnsi="宋体" w:cs="宋体"/>
                <w:bCs/>
                <w:sz w:val="18"/>
                <w:szCs w:val="18"/>
              </w:rPr>
              <w:t>智慧健康养老服务专业学生的岗位实习应围绕重点对口就业岗位群，包括养老机构、养老院、老年康养中心、社区医院等，在掌握老年照护与相关法律法规等知识的基础上，强化和提升学生职场环境下老年照护、健康评估等专业职业技能及沟通、组织协调与应急处理、信息化技术运用能力、调查研究与学习创新等核心职业技能与素养。</w:t>
            </w:r>
          </w:p>
        </w:tc>
        <w:tc>
          <w:tcPr>
            <w:tcW w:w="2563" w:type="dxa"/>
          </w:tcPr>
          <w:p w14:paraId="45236BD3">
            <w:pPr>
              <w:pageBreakBefore w:val="0"/>
              <w:kinsoku/>
              <w:wordWrap/>
              <w:overflowPunct/>
              <w:topLinePunct w:val="0"/>
              <w:bidi w:val="0"/>
              <w:snapToGrid/>
              <w:spacing w:line="360" w:lineRule="exact"/>
              <w:ind w:firstLine="360" w:firstLineChars="200"/>
              <w:jc w:val="both"/>
              <w:textAlignment w:val="auto"/>
              <w:rPr>
                <w:rFonts w:ascii="宋体" w:hAnsi="宋体" w:cs="宋体"/>
                <w:bCs/>
                <w:sz w:val="18"/>
                <w:szCs w:val="18"/>
              </w:rPr>
            </w:pPr>
            <w:r>
              <w:rPr>
                <w:rFonts w:hint="eastAsia" w:ascii="宋体" w:hAnsi="宋体" w:cs="宋体"/>
                <w:bCs/>
                <w:sz w:val="18"/>
                <w:szCs w:val="18"/>
              </w:rPr>
              <w:t>带教老师应具有执业资格、中级及以上专业技术职称、5年以上从事本专业工作经历，具有扎实的专业知识、较强的专业实践能力和良好的带教意识；能按照实习计划讲授专业理论知识、训练专业技能、指导临床实践，检查督促学生完成各项实习任务。学生跟岗实习考核成绩由托育机构考核成绩和学校考核成绩组成，考核结果填写在《岗位实习鉴定表》中。</w:t>
            </w:r>
          </w:p>
        </w:tc>
      </w:tr>
      <w:tr w14:paraId="5ABB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73" w:type="dxa"/>
            <w:vAlign w:val="center"/>
          </w:tcPr>
          <w:p w14:paraId="5F0D8C24">
            <w:pPr>
              <w:pageBreakBefore w:val="0"/>
              <w:kinsoku/>
              <w:wordWrap/>
              <w:overflowPunct/>
              <w:topLinePunct w:val="0"/>
              <w:bidi w:val="0"/>
              <w:snapToGrid/>
              <w:spacing w:line="360" w:lineRule="exact"/>
              <w:jc w:val="center"/>
              <w:textAlignment w:val="auto"/>
              <w:rPr>
                <w:rFonts w:hint="default" w:ascii="宋体" w:hAnsi="宋体" w:eastAsia="宋体" w:cs="宋体"/>
                <w:b/>
                <w:bCs w:val="0"/>
                <w:sz w:val="18"/>
                <w:szCs w:val="18"/>
                <w:lang w:val="en-US" w:eastAsia="zh-CN"/>
              </w:rPr>
            </w:pPr>
            <w:r>
              <w:rPr>
                <w:rFonts w:hint="eastAsia" w:ascii="宋体" w:hAnsi="宋体" w:cs="宋体"/>
                <w:b/>
                <w:bCs w:val="0"/>
                <w:sz w:val="18"/>
                <w:szCs w:val="18"/>
              </w:rPr>
              <w:t>毕业设计</w:t>
            </w:r>
            <w:r>
              <w:rPr>
                <w:rFonts w:hint="eastAsia" w:ascii="宋体" w:hAnsi="宋体" w:cs="宋体"/>
                <w:b/>
                <w:bCs w:val="0"/>
                <w:sz w:val="18"/>
                <w:szCs w:val="18"/>
                <w:lang w:val="en-US" w:eastAsia="zh-CN"/>
              </w:rPr>
              <w:t>与毕业教育</w:t>
            </w:r>
          </w:p>
        </w:tc>
        <w:tc>
          <w:tcPr>
            <w:tcW w:w="2667" w:type="dxa"/>
          </w:tcPr>
          <w:p w14:paraId="61C69D31">
            <w:pPr>
              <w:pageBreakBefore w:val="0"/>
              <w:kinsoku/>
              <w:wordWrap/>
              <w:overflowPunct/>
              <w:topLinePunct w:val="0"/>
              <w:bidi w:val="0"/>
              <w:snapToGrid/>
              <w:spacing w:line="360" w:lineRule="exact"/>
              <w:ind w:firstLine="360" w:firstLineChars="200"/>
              <w:textAlignment w:val="auto"/>
              <w:rPr>
                <w:rFonts w:ascii="宋体" w:hAnsi="宋体" w:cs="宋体"/>
                <w:bCs/>
                <w:color w:val="FF0000"/>
                <w:sz w:val="18"/>
                <w:szCs w:val="18"/>
              </w:rPr>
            </w:pPr>
            <w:r>
              <w:rPr>
                <w:rFonts w:hint="eastAsia" w:ascii="宋体" w:hAnsi="宋体" w:cs="宋体"/>
                <w:bCs/>
                <w:sz w:val="18"/>
                <w:szCs w:val="18"/>
              </w:rPr>
              <w:t>毕业设计是高职高专智慧养老服务与管理专业的一门必修综合性专业实践课程，毕业设计是教学过程的第三学年实习期间完成的一种总结性的实践教学环节，旨在通过系统训练，培养学生综合运用基础理论、专业知识和专业技能分析解决实际问题的能力，有利于提升学生的就业和创业能力。</w:t>
            </w:r>
          </w:p>
        </w:tc>
        <w:tc>
          <w:tcPr>
            <w:tcW w:w="2783" w:type="dxa"/>
          </w:tcPr>
          <w:p w14:paraId="5D6E4397">
            <w:pPr>
              <w:pageBreakBefore w:val="0"/>
              <w:kinsoku/>
              <w:wordWrap/>
              <w:overflowPunct/>
              <w:topLinePunct w:val="0"/>
              <w:bidi w:val="0"/>
              <w:snapToGrid/>
              <w:spacing w:line="360" w:lineRule="exact"/>
              <w:ind w:firstLine="360" w:firstLineChars="200"/>
              <w:textAlignment w:val="auto"/>
              <w:rPr>
                <w:rFonts w:ascii="宋体" w:hAnsi="宋体" w:cs="宋体"/>
                <w:bCs/>
                <w:sz w:val="18"/>
                <w:szCs w:val="18"/>
              </w:rPr>
            </w:pPr>
            <w:r>
              <w:rPr>
                <w:rFonts w:hint="eastAsia" w:ascii="宋体" w:hAnsi="宋体" w:cs="宋体"/>
                <w:bCs/>
                <w:sz w:val="18"/>
                <w:szCs w:val="18"/>
              </w:rPr>
              <w:t>本课程通过典型案例分析和描述，培养学生综合应用所学老年照护理论和专业知识，为老年人提供优质服务及健康教育的能力，进一步提高和训练学生解决问题的思维能力，培养学生学以致用、融会贯通的综合运用知识能力，以及查阅文献的能力等。毕业设计强调理论联系实际，提高学生分析、解决智慧养老服务过程中实际问题的能力，注意培养学生科学、求实、严谨、认真的工作作风。</w:t>
            </w:r>
          </w:p>
        </w:tc>
        <w:tc>
          <w:tcPr>
            <w:tcW w:w="2563" w:type="dxa"/>
          </w:tcPr>
          <w:p w14:paraId="529ED26B">
            <w:pPr>
              <w:pageBreakBefore w:val="0"/>
              <w:kinsoku/>
              <w:wordWrap/>
              <w:overflowPunct/>
              <w:topLinePunct w:val="0"/>
              <w:bidi w:val="0"/>
              <w:snapToGrid/>
              <w:spacing w:line="360" w:lineRule="exact"/>
              <w:ind w:firstLine="360" w:firstLineChars="200"/>
              <w:textAlignment w:val="auto"/>
              <w:rPr>
                <w:rFonts w:ascii="宋体" w:hAnsi="宋体" w:cs="宋体"/>
                <w:bCs/>
                <w:sz w:val="18"/>
                <w:szCs w:val="18"/>
              </w:rPr>
            </w:pPr>
            <w:r>
              <w:rPr>
                <w:rFonts w:hint="eastAsia" w:ascii="宋体" w:hAnsi="宋体" w:cs="宋体"/>
                <w:bCs/>
                <w:sz w:val="18"/>
                <w:szCs w:val="18"/>
              </w:rPr>
              <w:t>创新模块化教学模式，打破课程教学的传统模式，探索“行动导向”教学、项目式教学、情景式教学、工作过程导向教学等新教法，不断提升教学质量效果；采用线上线下混合式教学模式，利用精品在线课程资源，课前-课中-课后提升学生学习效果；及时将最新研发成果融入教学，推动信息技术与教育教学融合创新；融入1+X证书职业技能培训，达到育训结合、课证融通教学目标。采取毕业设计成果考核形式作为学生的学习成绩。</w:t>
            </w:r>
          </w:p>
        </w:tc>
      </w:tr>
    </w:tbl>
    <w:p w14:paraId="3575F6F5">
      <w:pPr>
        <w:pStyle w:val="3"/>
        <w:pageBreakBefore w:val="0"/>
        <w:kinsoku/>
        <w:wordWrap/>
        <w:overflowPunct/>
        <w:topLinePunct w:val="0"/>
        <w:bidi w:val="0"/>
        <w:snapToGrid/>
        <w:spacing w:before="0" w:beforeLines="0" w:after="0" w:afterLines="0" w:line="360" w:lineRule="exact"/>
        <w:ind w:firstLine="482"/>
        <w:textAlignment w:val="auto"/>
        <w:rPr>
          <w:rFonts w:hint="default" w:ascii="Times New Roman" w:hAnsi="Times New Roman"/>
          <w:kern w:val="2"/>
          <w:sz w:val="24"/>
          <w:szCs w:val="24"/>
        </w:rPr>
      </w:pPr>
      <w:bookmarkStart w:id="22" w:name="_Toc16644"/>
      <w:r>
        <w:rPr>
          <w:rFonts w:ascii="Times New Roman" w:hAnsi="Times New Roman"/>
          <w:kern w:val="2"/>
          <w:sz w:val="24"/>
          <w:szCs w:val="24"/>
        </w:rPr>
        <w:t>七、教学进程总体安排</w:t>
      </w:r>
      <w:bookmarkEnd w:id="22"/>
    </w:p>
    <w:p w14:paraId="5974AC22">
      <w:pPr>
        <w:pStyle w:val="4"/>
        <w:pageBreakBefore w:val="0"/>
        <w:kinsoku/>
        <w:wordWrap/>
        <w:overflowPunct/>
        <w:topLinePunct w:val="0"/>
        <w:bidi w:val="0"/>
        <w:adjustRightInd w:val="0"/>
        <w:snapToGrid/>
        <w:spacing w:before="0" w:beforeLines="0" w:after="0" w:afterLines="0" w:line="360" w:lineRule="exact"/>
        <w:ind w:firstLine="422" w:firstLineChars="200"/>
        <w:textAlignment w:val="auto"/>
        <w:rPr>
          <w:sz w:val="21"/>
          <w:szCs w:val="21"/>
        </w:rPr>
      </w:pPr>
      <w:bookmarkStart w:id="23" w:name="_Toc3332"/>
      <w:bookmarkStart w:id="24" w:name="_Toc18647"/>
      <w:r>
        <w:rPr>
          <w:rFonts w:hint="eastAsia"/>
          <w:sz w:val="21"/>
          <w:szCs w:val="21"/>
        </w:rPr>
        <w:t>（一）教学周数分学期分配表</w:t>
      </w:r>
      <w:bookmarkEnd w:id="23"/>
      <w:bookmarkEnd w:id="24"/>
    </w:p>
    <w:p w14:paraId="4ACAB300">
      <w:pPr>
        <w:pageBreakBefore w:val="0"/>
        <w:kinsoku/>
        <w:wordWrap/>
        <w:overflowPunct/>
        <w:topLinePunct w:val="0"/>
        <w:bidi w:val="0"/>
        <w:adjustRightInd w:val="0"/>
        <w:snapToGrid/>
        <w:spacing w:line="360" w:lineRule="exact"/>
        <w:jc w:val="center"/>
        <w:textAlignment w:val="auto"/>
        <w:rPr>
          <w:b/>
          <w:bCs/>
          <w:szCs w:val="21"/>
        </w:rPr>
      </w:pPr>
      <w:r>
        <w:rPr>
          <w:rFonts w:hint="eastAsia"/>
          <w:b/>
          <w:bCs/>
          <w:sz w:val="22"/>
          <w:szCs w:val="28"/>
        </w:rPr>
        <w:t xml:space="preserve">                                                            </w:t>
      </w:r>
      <w:r>
        <w:rPr>
          <w:rFonts w:hint="eastAsia"/>
          <w:b/>
          <w:bCs/>
          <w:szCs w:val="21"/>
        </w:rPr>
        <w:t>单位：周</w:t>
      </w:r>
    </w:p>
    <w:tbl>
      <w:tblPr>
        <w:tblStyle w:val="14"/>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210"/>
        <w:gridCol w:w="1168"/>
        <w:gridCol w:w="1086"/>
        <w:gridCol w:w="1155"/>
        <w:gridCol w:w="1412"/>
        <w:gridCol w:w="696"/>
        <w:gridCol w:w="496"/>
        <w:gridCol w:w="569"/>
      </w:tblGrid>
      <w:tr w14:paraId="14D4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724" w:type="pct"/>
            <w:tcBorders>
              <w:tl2br w:val="single" w:color="auto" w:sz="4" w:space="0"/>
            </w:tcBorders>
            <w:shd w:val="clear" w:color="auto" w:fill="F2F2F2"/>
            <w:vAlign w:val="center"/>
          </w:tcPr>
          <w:p w14:paraId="02877C6E">
            <w:pPr>
              <w:pageBreakBefore w:val="0"/>
              <w:kinsoku/>
              <w:wordWrap/>
              <w:overflowPunct/>
              <w:topLinePunct w:val="0"/>
              <w:bidi w:val="0"/>
              <w:adjustRightInd w:val="0"/>
              <w:snapToGrid/>
              <w:spacing w:line="360" w:lineRule="exact"/>
              <w:textAlignment w:val="auto"/>
              <w:rPr>
                <w:rFonts w:ascii="宋体" w:hAnsi="宋体" w:cs="宋体"/>
                <w:b/>
                <w:bCs/>
                <w:sz w:val="21"/>
                <w:szCs w:val="21"/>
              </w:rPr>
            </w:pPr>
            <w:r>
              <w:rPr>
                <w:rFonts w:hint="eastAsia" w:ascii="宋体" w:hAnsi="宋体" w:cs="宋体"/>
                <w:b/>
                <w:bCs/>
                <w:sz w:val="21"/>
                <w:szCs w:val="21"/>
              </w:rPr>
              <w:t xml:space="preserve">   </w:t>
            </w:r>
            <w:r>
              <w:rPr>
                <w:rFonts w:hint="eastAsia" w:ascii="宋体" w:hAnsi="宋体" w:cs="宋体"/>
                <w:b/>
                <w:bCs/>
                <w:sz w:val="21"/>
                <w:szCs w:val="21"/>
                <w:lang w:val="en-US" w:eastAsia="zh-CN"/>
              </w:rPr>
              <w:t xml:space="preserve"> </w:t>
            </w:r>
            <w:r>
              <w:rPr>
                <w:rFonts w:hint="eastAsia" w:ascii="宋体" w:hAnsi="宋体" w:cs="宋体"/>
                <w:b/>
                <w:bCs/>
                <w:sz w:val="21"/>
                <w:szCs w:val="21"/>
              </w:rPr>
              <w:t xml:space="preserve"> 分类</w:t>
            </w:r>
          </w:p>
          <w:p w14:paraId="75EC460A">
            <w:pPr>
              <w:pageBreakBefore w:val="0"/>
              <w:kinsoku/>
              <w:wordWrap/>
              <w:overflowPunct/>
              <w:topLinePunct w:val="0"/>
              <w:bidi w:val="0"/>
              <w:adjustRightInd w:val="0"/>
              <w:snapToGrid/>
              <w:spacing w:line="360" w:lineRule="exact"/>
              <w:textAlignment w:val="auto"/>
              <w:rPr>
                <w:rFonts w:ascii="宋体" w:hAnsi="宋体" w:cs="宋体"/>
                <w:b/>
                <w:bCs/>
                <w:sz w:val="21"/>
                <w:szCs w:val="21"/>
              </w:rPr>
            </w:pPr>
            <w:r>
              <w:rPr>
                <w:rFonts w:hint="eastAsia" w:ascii="宋体" w:hAnsi="宋体" w:cs="宋体"/>
                <w:b/>
                <w:bCs/>
                <w:sz w:val="21"/>
                <w:szCs w:val="21"/>
              </w:rPr>
              <w:t>学期</w:t>
            </w:r>
          </w:p>
        </w:tc>
        <w:tc>
          <w:tcPr>
            <w:tcW w:w="663" w:type="pct"/>
            <w:shd w:val="clear" w:color="auto" w:fill="F2F2F2"/>
            <w:vAlign w:val="center"/>
          </w:tcPr>
          <w:p w14:paraId="39ADF0F3">
            <w:pPr>
              <w:pageBreakBefore w:val="0"/>
              <w:kinsoku/>
              <w:wordWrap/>
              <w:overflowPunct/>
              <w:topLinePunct w:val="0"/>
              <w:bidi w:val="0"/>
              <w:adjustRightInd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理实一体教学</w:t>
            </w:r>
          </w:p>
        </w:tc>
        <w:tc>
          <w:tcPr>
            <w:tcW w:w="640" w:type="pct"/>
            <w:shd w:val="clear" w:color="auto" w:fill="F2F2F2"/>
            <w:vAlign w:val="center"/>
          </w:tcPr>
          <w:p w14:paraId="0FEFE6ED">
            <w:pPr>
              <w:pageBreakBefore w:val="0"/>
              <w:kinsoku/>
              <w:wordWrap/>
              <w:overflowPunct/>
              <w:topLinePunct w:val="0"/>
              <w:bidi w:val="0"/>
              <w:adjustRightInd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综合实践教学</w:t>
            </w:r>
          </w:p>
        </w:tc>
        <w:tc>
          <w:tcPr>
            <w:tcW w:w="595" w:type="pct"/>
            <w:shd w:val="clear" w:color="auto" w:fill="F2F2F2"/>
            <w:vAlign w:val="center"/>
          </w:tcPr>
          <w:p w14:paraId="73EA1D06">
            <w:pPr>
              <w:pageBreakBefore w:val="0"/>
              <w:kinsoku/>
              <w:wordWrap/>
              <w:overflowPunct/>
              <w:topLinePunct w:val="0"/>
              <w:bidi w:val="0"/>
              <w:adjustRightInd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入学教育与军训</w:t>
            </w:r>
          </w:p>
        </w:tc>
        <w:tc>
          <w:tcPr>
            <w:tcW w:w="633" w:type="pct"/>
            <w:shd w:val="clear" w:color="auto" w:fill="F2F2F2"/>
            <w:vAlign w:val="center"/>
          </w:tcPr>
          <w:p w14:paraId="3984B04F">
            <w:pPr>
              <w:pageBreakBefore w:val="0"/>
              <w:kinsoku/>
              <w:wordWrap/>
              <w:overflowPunct/>
              <w:topLinePunct w:val="0"/>
              <w:bidi w:val="0"/>
              <w:adjustRightInd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岗位实习</w:t>
            </w:r>
          </w:p>
        </w:tc>
        <w:tc>
          <w:tcPr>
            <w:tcW w:w="774" w:type="pct"/>
            <w:shd w:val="clear" w:color="auto" w:fill="F2F2F2"/>
            <w:vAlign w:val="center"/>
          </w:tcPr>
          <w:p w14:paraId="7EE1C940">
            <w:pPr>
              <w:pageBreakBefore w:val="0"/>
              <w:kinsoku/>
              <w:wordWrap/>
              <w:overflowPunct/>
              <w:topLinePunct w:val="0"/>
              <w:bidi w:val="0"/>
              <w:adjustRightInd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毕业设计与毕业教育</w:t>
            </w:r>
          </w:p>
        </w:tc>
        <w:tc>
          <w:tcPr>
            <w:tcW w:w="381" w:type="pct"/>
            <w:shd w:val="clear" w:color="auto" w:fill="F2F2F2"/>
            <w:vAlign w:val="center"/>
          </w:tcPr>
          <w:p w14:paraId="44A06B6E">
            <w:pPr>
              <w:pageBreakBefore w:val="0"/>
              <w:kinsoku/>
              <w:wordWrap/>
              <w:overflowPunct/>
              <w:topLinePunct w:val="0"/>
              <w:bidi w:val="0"/>
              <w:adjustRightInd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考试</w:t>
            </w:r>
          </w:p>
        </w:tc>
        <w:tc>
          <w:tcPr>
            <w:tcW w:w="272" w:type="pct"/>
            <w:shd w:val="clear" w:color="auto" w:fill="F2F2F2"/>
            <w:vAlign w:val="center"/>
          </w:tcPr>
          <w:p w14:paraId="3F1230D8">
            <w:pPr>
              <w:pageBreakBefore w:val="0"/>
              <w:kinsoku/>
              <w:wordWrap/>
              <w:overflowPunct/>
              <w:topLinePunct w:val="0"/>
              <w:bidi w:val="0"/>
              <w:adjustRightInd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机动</w:t>
            </w:r>
          </w:p>
        </w:tc>
        <w:tc>
          <w:tcPr>
            <w:tcW w:w="312" w:type="pct"/>
            <w:shd w:val="clear" w:color="auto" w:fill="F2F2F2"/>
            <w:vAlign w:val="center"/>
          </w:tcPr>
          <w:p w14:paraId="15E688D0">
            <w:pPr>
              <w:pageBreakBefore w:val="0"/>
              <w:kinsoku/>
              <w:wordWrap/>
              <w:overflowPunct/>
              <w:topLinePunct w:val="0"/>
              <w:bidi w:val="0"/>
              <w:adjustRightInd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合计</w:t>
            </w:r>
          </w:p>
        </w:tc>
      </w:tr>
      <w:tr w14:paraId="1CAE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47E0F244">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第一学期</w:t>
            </w:r>
          </w:p>
        </w:tc>
        <w:tc>
          <w:tcPr>
            <w:tcW w:w="663" w:type="pct"/>
            <w:vAlign w:val="center"/>
          </w:tcPr>
          <w:p w14:paraId="3FEA4295">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16</w:t>
            </w:r>
          </w:p>
        </w:tc>
        <w:tc>
          <w:tcPr>
            <w:tcW w:w="640" w:type="pct"/>
            <w:vAlign w:val="center"/>
          </w:tcPr>
          <w:p w14:paraId="002FF7AB">
            <w:pPr>
              <w:pStyle w:val="2"/>
              <w:pageBreakBefore w:val="0"/>
              <w:kinsoku/>
              <w:wordWrap/>
              <w:overflowPunct/>
              <w:topLinePunct w:val="0"/>
              <w:bidi w:val="0"/>
              <w:snapToGrid/>
              <w:spacing w:after="0" w:line="360" w:lineRule="exact"/>
              <w:jc w:val="center"/>
              <w:textAlignment w:val="auto"/>
              <w:rPr>
                <w:rFonts w:ascii="宋体" w:hAnsi="宋体" w:cs="宋体"/>
                <w:color w:val="548DD4"/>
                <w:sz w:val="18"/>
                <w:szCs w:val="18"/>
              </w:rPr>
            </w:pPr>
          </w:p>
        </w:tc>
        <w:tc>
          <w:tcPr>
            <w:tcW w:w="595" w:type="pct"/>
            <w:vAlign w:val="center"/>
          </w:tcPr>
          <w:p w14:paraId="6409EB6C">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3</w:t>
            </w:r>
          </w:p>
        </w:tc>
        <w:tc>
          <w:tcPr>
            <w:tcW w:w="633" w:type="pct"/>
            <w:vAlign w:val="center"/>
          </w:tcPr>
          <w:p w14:paraId="08B687BA">
            <w:pPr>
              <w:pStyle w:val="2"/>
              <w:pageBreakBefore w:val="0"/>
              <w:kinsoku/>
              <w:wordWrap/>
              <w:overflowPunct/>
              <w:topLinePunct w:val="0"/>
              <w:bidi w:val="0"/>
              <w:snapToGrid/>
              <w:spacing w:after="0" w:line="360" w:lineRule="exact"/>
              <w:jc w:val="center"/>
              <w:textAlignment w:val="auto"/>
              <w:rPr>
                <w:rFonts w:ascii="宋体" w:hAnsi="宋体" w:cs="宋体"/>
                <w:color w:val="548DD4"/>
                <w:sz w:val="18"/>
                <w:szCs w:val="18"/>
              </w:rPr>
            </w:pPr>
          </w:p>
        </w:tc>
        <w:tc>
          <w:tcPr>
            <w:tcW w:w="774" w:type="pct"/>
            <w:vAlign w:val="center"/>
          </w:tcPr>
          <w:p w14:paraId="4B6E110E">
            <w:pPr>
              <w:pStyle w:val="2"/>
              <w:pageBreakBefore w:val="0"/>
              <w:kinsoku/>
              <w:wordWrap/>
              <w:overflowPunct/>
              <w:topLinePunct w:val="0"/>
              <w:bidi w:val="0"/>
              <w:snapToGrid/>
              <w:spacing w:after="0" w:line="360" w:lineRule="exact"/>
              <w:jc w:val="center"/>
              <w:textAlignment w:val="auto"/>
              <w:rPr>
                <w:rFonts w:ascii="宋体" w:hAnsi="宋体" w:cs="宋体"/>
                <w:color w:val="548DD4"/>
                <w:sz w:val="18"/>
                <w:szCs w:val="18"/>
              </w:rPr>
            </w:pPr>
          </w:p>
        </w:tc>
        <w:tc>
          <w:tcPr>
            <w:tcW w:w="381" w:type="pct"/>
            <w:vAlign w:val="center"/>
          </w:tcPr>
          <w:p w14:paraId="57F4EE6A">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w:t>
            </w:r>
          </w:p>
        </w:tc>
        <w:tc>
          <w:tcPr>
            <w:tcW w:w="272" w:type="pct"/>
            <w:vAlign w:val="center"/>
          </w:tcPr>
          <w:p w14:paraId="7F7C1EB3">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0</w:t>
            </w:r>
          </w:p>
        </w:tc>
        <w:tc>
          <w:tcPr>
            <w:tcW w:w="312" w:type="pct"/>
            <w:vAlign w:val="center"/>
          </w:tcPr>
          <w:p w14:paraId="3628A38A">
            <w:pPr>
              <w:pStyle w:val="2"/>
              <w:pageBreakBefore w:val="0"/>
              <w:kinsoku/>
              <w:wordWrap/>
              <w:overflowPunct/>
              <w:topLinePunct w:val="0"/>
              <w:bidi w:val="0"/>
              <w:snapToGrid/>
              <w:spacing w:after="0" w:line="360" w:lineRule="exact"/>
              <w:jc w:val="center"/>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40FA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4CEFDB3A">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第二学期</w:t>
            </w:r>
          </w:p>
        </w:tc>
        <w:tc>
          <w:tcPr>
            <w:tcW w:w="663" w:type="pct"/>
            <w:vAlign w:val="center"/>
          </w:tcPr>
          <w:p w14:paraId="00DA0800">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18</w:t>
            </w:r>
          </w:p>
        </w:tc>
        <w:tc>
          <w:tcPr>
            <w:tcW w:w="640" w:type="pct"/>
            <w:vAlign w:val="center"/>
          </w:tcPr>
          <w:p w14:paraId="5DB8B297">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p>
        </w:tc>
        <w:tc>
          <w:tcPr>
            <w:tcW w:w="595" w:type="pct"/>
            <w:vAlign w:val="center"/>
          </w:tcPr>
          <w:p w14:paraId="709C57E1">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p>
        </w:tc>
        <w:tc>
          <w:tcPr>
            <w:tcW w:w="633" w:type="pct"/>
            <w:vAlign w:val="center"/>
          </w:tcPr>
          <w:p w14:paraId="5EC1A170">
            <w:pPr>
              <w:pStyle w:val="2"/>
              <w:pageBreakBefore w:val="0"/>
              <w:kinsoku/>
              <w:wordWrap/>
              <w:overflowPunct/>
              <w:topLinePunct w:val="0"/>
              <w:bidi w:val="0"/>
              <w:snapToGrid/>
              <w:spacing w:after="0" w:line="360" w:lineRule="exact"/>
              <w:jc w:val="center"/>
              <w:textAlignment w:val="auto"/>
              <w:rPr>
                <w:rFonts w:ascii="宋体" w:hAnsi="宋体" w:cs="宋体"/>
                <w:color w:val="548DD4"/>
                <w:sz w:val="18"/>
                <w:szCs w:val="18"/>
              </w:rPr>
            </w:pPr>
          </w:p>
        </w:tc>
        <w:tc>
          <w:tcPr>
            <w:tcW w:w="774" w:type="pct"/>
            <w:vAlign w:val="center"/>
          </w:tcPr>
          <w:p w14:paraId="04109819">
            <w:pPr>
              <w:pStyle w:val="2"/>
              <w:pageBreakBefore w:val="0"/>
              <w:kinsoku/>
              <w:wordWrap/>
              <w:overflowPunct/>
              <w:topLinePunct w:val="0"/>
              <w:bidi w:val="0"/>
              <w:snapToGrid/>
              <w:spacing w:after="0" w:line="360" w:lineRule="exact"/>
              <w:jc w:val="center"/>
              <w:textAlignment w:val="auto"/>
              <w:rPr>
                <w:rFonts w:ascii="宋体" w:hAnsi="宋体" w:cs="宋体"/>
                <w:color w:val="548DD4"/>
                <w:sz w:val="18"/>
                <w:szCs w:val="18"/>
              </w:rPr>
            </w:pPr>
          </w:p>
        </w:tc>
        <w:tc>
          <w:tcPr>
            <w:tcW w:w="381" w:type="pct"/>
            <w:vAlign w:val="center"/>
          </w:tcPr>
          <w:p w14:paraId="396E803F">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w:t>
            </w:r>
          </w:p>
        </w:tc>
        <w:tc>
          <w:tcPr>
            <w:tcW w:w="272" w:type="pct"/>
            <w:vAlign w:val="center"/>
          </w:tcPr>
          <w:p w14:paraId="18B14008">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w:t>
            </w:r>
          </w:p>
        </w:tc>
        <w:tc>
          <w:tcPr>
            <w:tcW w:w="312" w:type="pct"/>
            <w:vAlign w:val="center"/>
          </w:tcPr>
          <w:p w14:paraId="6302ABE3">
            <w:pPr>
              <w:pStyle w:val="2"/>
              <w:pageBreakBefore w:val="0"/>
              <w:kinsoku/>
              <w:wordWrap/>
              <w:overflowPunct/>
              <w:topLinePunct w:val="0"/>
              <w:bidi w:val="0"/>
              <w:snapToGrid/>
              <w:spacing w:after="0" w:line="360" w:lineRule="exact"/>
              <w:jc w:val="center"/>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0F6D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04883766">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第三学期</w:t>
            </w:r>
          </w:p>
        </w:tc>
        <w:tc>
          <w:tcPr>
            <w:tcW w:w="663" w:type="pct"/>
            <w:vAlign w:val="center"/>
          </w:tcPr>
          <w:p w14:paraId="3E898DBA">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18</w:t>
            </w:r>
          </w:p>
        </w:tc>
        <w:tc>
          <w:tcPr>
            <w:tcW w:w="640" w:type="pct"/>
            <w:vAlign w:val="center"/>
          </w:tcPr>
          <w:p w14:paraId="0BAE9571">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p>
        </w:tc>
        <w:tc>
          <w:tcPr>
            <w:tcW w:w="595" w:type="pct"/>
            <w:vAlign w:val="center"/>
          </w:tcPr>
          <w:p w14:paraId="58C27B42">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p>
        </w:tc>
        <w:tc>
          <w:tcPr>
            <w:tcW w:w="633" w:type="pct"/>
            <w:vAlign w:val="center"/>
          </w:tcPr>
          <w:p w14:paraId="1126204B">
            <w:pPr>
              <w:pStyle w:val="2"/>
              <w:pageBreakBefore w:val="0"/>
              <w:kinsoku/>
              <w:wordWrap/>
              <w:overflowPunct/>
              <w:topLinePunct w:val="0"/>
              <w:bidi w:val="0"/>
              <w:snapToGrid/>
              <w:spacing w:after="0" w:line="360" w:lineRule="exact"/>
              <w:jc w:val="center"/>
              <w:textAlignment w:val="auto"/>
              <w:rPr>
                <w:rFonts w:ascii="宋体" w:hAnsi="宋体" w:cs="宋体"/>
                <w:color w:val="548DD4"/>
                <w:sz w:val="18"/>
                <w:szCs w:val="18"/>
              </w:rPr>
            </w:pPr>
          </w:p>
        </w:tc>
        <w:tc>
          <w:tcPr>
            <w:tcW w:w="774" w:type="pct"/>
            <w:vAlign w:val="center"/>
          </w:tcPr>
          <w:p w14:paraId="50DD8133">
            <w:pPr>
              <w:pStyle w:val="2"/>
              <w:pageBreakBefore w:val="0"/>
              <w:kinsoku/>
              <w:wordWrap/>
              <w:overflowPunct/>
              <w:topLinePunct w:val="0"/>
              <w:bidi w:val="0"/>
              <w:snapToGrid/>
              <w:spacing w:after="0" w:line="360" w:lineRule="exact"/>
              <w:jc w:val="center"/>
              <w:textAlignment w:val="auto"/>
              <w:rPr>
                <w:rFonts w:ascii="宋体" w:hAnsi="宋体" w:cs="宋体"/>
                <w:color w:val="548DD4"/>
                <w:sz w:val="18"/>
                <w:szCs w:val="18"/>
              </w:rPr>
            </w:pPr>
          </w:p>
        </w:tc>
        <w:tc>
          <w:tcPr>
            <w:tcW w:w="381" w:type="pct"/>
            <w:vAlign w:val="center"/>
          </w:tcPr>
          <w:p w14:paraId="19A23040">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w:t>
            </w:r>
          </w:p>
        </w:tc>
        <w:tc>
          <w:tcPr>
            <w:tcW w:w="272" w:type="pct"/>
            <w:vAlign w:val="center"/>
          </w:tcPr>
          <w:p w14:paraId="79770E24">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w:t>
            </w:r>
          </w:p>
        </w:tc>
        <w:tc>
          <w:tcPr>
            <w:tcW w:w="312" w:type="pct"/>
            <w:vAlign w:val="center"/>
          </w:tcPr>
          <w:p w14:paraId="1B86BD8D">
            <w:pPr>
              <w:pStyle w:val="2"/>
              <w:pageBreakBefore w:val="0"/>
              <w:kinsoku/>
              <w:wordWrap/>
              <w:overflowPunct/>
              <w:topLinePunct w:val="0"/>
              <w:bidi w:val="0"/>
              <w:snapToGrid/>
              <w:spacing w:after="0" w:line="360" w:lineRule="exact"/>
              <w:jc w:val="center"/>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73C0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036AC30A">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第四学期</w:t>
            </w:r>
          </w:p>
        </w:tc>
        <w:tc>
          <w:tcPr>
            <w:tcW w:w="663" w:type="pct"/>
            <w:vAlign w:val="center"/>
          </w:tcPr>
          <w:p w14:paraId="42C5E0ED">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18</w:t>
            </w:r>
          </w:p>
        </w:tc>
        <w:tc>
          <w:tcPr>
            <w:tcW w:w="640" w:type="pct"/>
            <w:vAlign w:val="center"/>
          </w:tcPr>
          <w:p w14:paraId="03E0EC08">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p>
        </w:tc>
        <w:tc>
          <w:tcPr>
            <w:tcW w:w="595" w:type="pct"/>
            <w:vAlign w:val="center"/>
          </w:tcPr>
          <w:p w14:paraId="2E8AA7EF">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p>
        </w:tc>
        <w:tc>
          <w:tcPr>
            <w:tcW w:w="633" w:type="pct"/>
            <w:vAlign w:val="center"/>
          </w:tcPr>
          <w:p w14:paraId="0911F782">
            <w:pPr>
              <w:pStyle w:val="2"/>
              <w:pageBreakBefore w:val="0"/>
              <w:kinsoku/>
              <w:wordWrap/>
              <w:overflowPunct/>
              <w:topLinePunct w:val="0"/>
              <w:bidi w:val="0"/>
              <w:snapToGrid/>
              <w:spacing w:after="0" w:line="360" w:lineRule="exact"/>
              <w:jc w:val="center"/>
              <w:textAlignment w:val="auto"/>
              <w:rPr>
                <w:rFonts w:ascii="宋体" w:hAnsi="宋体" w:cs="宋体"/>
                <w:color w:val="548DD4"/>
                <w:sz w:val="18"/>
                <w:szCs w:val="18"/>
              </w:rPr>
            </w:pPr>
          </w:p>
        </w:tc>
        <w:tc>
          <w:tcPr>
            <w:tcW w:w="774" w:type="pct"/>
            <w:vAlign w:val="center"/>
          </w:tcPr>
          <w:p w14:paraId="300385DE">
            <w:pPr>
              <w:pStyle w:val="2"/>
              <w:pageBreakBefore w:val="0"/>
              <w:kinsoku/>
              <w:wordWrap/>
              <w:overflowPunct/>
              <w:topLinePunct w:val="0"/>
              <w:bidi w:val="0"/>
              <w:snapToGrid/>
              <w:spacing w:after="0" w:line="360" w:lineRule="exact"/>
              <w:jc w:val="center"/>
              <w:textAlignment w:val="auto"/>
              <w:rPr>
                <w:rFonts w:ascii="宋体" w:hAnsi="宋体" w:cs="宋体"/>
                <w:color w:val="548DD4"/>
                <w:sz w:val="18"/>
                <w:szCs w:val="18"/>
              </w:rPr>
            </w:pPr>
          </w:p>
        </w:tc>
        <w:tc>
          <w:tcPr>
            <w:tcW w:w="381" w:type="pct"/>
            <w:vAlign w:val="center"/>
          </w:tcPr>
          <w:p w14:paraId="3C93AC7E">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w:t>
            </w:r>
          </w:p>
        </w:tc>
        <w:tc>
          <w:tcPr>
            <w:tcW w:w="272" w:type="pct"/>
            <w:vAlign w:val="center"/>
          </w:tcPr>
          <w:p w14:paraId="57C746F9">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w:t>
            </w:r>
          </w:p>
        </w:tc>
        <w:tc>
          <w:tcPr>
            <w:tcW w:w="312" w:type="pct"/>
            <w:vAlign w:val="center"/>
          </w:tcPr>
          <w:p w14:paraId="0015ECC0">
            <w:pPr>
              <w:pStyle w:val="2"/>
              <w:pageBreakBefore w:val="0"/>
              <w:kinsoku/>
              <w:wordWrap/>
              <w:overflowPunct/>
              <w:topLinePunct w:val="0"/>
              <w:bidi w:val="0"/>
              <w:snapToGrid/>
              <w:spacing w:after="0" w:line="360" w:lineRule="exact"/>
              <w:jc w:val="center"/>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4F2B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4E963094">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第五学期</w:t>
            </w:r>
          </w:p>
        </w:tc>
        <w:tc>
          <w:tcPr>
            <w:tcW w:w="663" w:type="pct"/>
            <w:vAlign w:val="center"/>
          </w:tcPr>
          <w:p w14:paraId="3F9BEB4B">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p>
        </w:tc>
        <w:tc>
          <w:tcPr>
            <w:tcW w:w="640" w:type="pct"/>
            <w:vAlign w:val="center"/>
          </w:tcPr>
          <w:p w14:paraId="54929AD6">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p>
        </w:tc>
        <w:tc>
          <w:tcPr>
            <w:tcW w:w="595" w:type="pct"/>
            <w:vAlign w:val="center"/>
          </w:tcPr>
          <w:p w14:paraId="27AB1425">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p>
        </w:tc>
        <w:tc>
          <w:tcPr>
            <w:tcW w:w="633" w:type="pct"/>
            <w:vAlign w:val="center"/>
          </w:tcPr>
          <w:p w14:paraId="7997F245">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18</w:t>
            </w:r>
          </w:p>
        </w:tc>
        <w:tc>
          <w:tcPr>
            <w:tcW w:w="774" w:type="pct"/>
            <w:vAlign w:val="center"/>
          </w:tcPr>
          <w:p w14:paraId="34D49079">
            <w:pPr>
              <w:pStyle w:val="2"/>
              <w:pageBreakBefore w:val="0"/>
              <w:kinsoku/>
              <w:wordWrap/>
              <w:overflowPunct/>
              <w:topLinePunct w:val="0"/>
              <w:bidi w:val="0"/>
              <w:snapToGrid/>
              <w:spacing w:after="0" w:line="360" w:lineRule="exact"/>
              <w:jc w:val="center"/>
              <w:textAlignment w:val="auto"/>
              <w:rPr>
                <w:rFonts w:ascii="宋体" w:hAnsi="宋体" w:cs="宋体"/>
                <w:color w:val="548DD4"/>
                <w:sz w:val="18"/>
                <w:szCs w:val="18"/>
              </w:rPr>
            </w:pPr>
          </w:p>
        </w:tc>
        <w:tc>
          <w:tcPr>
            <w:tcW w:w="381" w:type="pct"/>
            <w:vAlign w:val="center"/>
          </w:tcPr>
          <w:p w14:paraId="3E8B6ED5">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w:t>
            </w:r>
          </w:p>
        </w:tc>
        <w:tc>
          <w:tcPr>
            <w:tcW w:w="272" w:type="pct"/>
            <w:vAlign w:val="center"/>
          </w:tcPr>
          <w:p w14:paraId="5C8C539E">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w:t>
            </w:r>
          </w:p>
        </w:tc>
        <w:tc>
          <w:tcPr>
            <w:tcW w:w="312" w:type="pct"/>
            <w:vAlign w:val="center"/>
          </w:tcPr>
          <w:p w14:paraId="1846DD8B">
            <w:pPr>
              <w:pStyle w:val="2"/>
              <w:pageBreakBefore w:val="0"/>
              <w:kinsoku/>
              <w:wordWrap/>
              <w:overflowPunct/>
              <w:topLinePunct w:val="0"/>
              <w:bidi w:val="0"/>
              <w:snapToGrid/>
              <w:spacing w:after="0" w:line="360" w:lineRule="exact"/>
              <w:jc w:val="center"/>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3720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7B91A001">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第六学期</w:t>
            </w:r>
          </w:p>
        </w:tc>
        <w:tc>
          <w:tcPr>
            <w:tcW w:w="663" w:type="pct"/>
            <w:vAlign w:val="center"/>
          </w:tcPr>
          <w:p w14:paraId="0600D02F">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p>
        </w:tc>
        <w:tc>
          <w:tcPr>
            <w:tcW w:w="640" w:type="pct"/>
            <w:vAlign w:val="center"/>
          </w:tcPr>
          <w:p w14:paraId="4077EA8C">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p>
        </w:tc>
        <w:tc>
          <w:tcPr>
            <w:tcW w:w="595" w:type="pct"/>
            <w:vAlign w:val="center"/>
          </w:tcPr>
          <w:p w14:paraId="3690AF4F">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p>
        </w:tc>
        <w:tc>
          <w:tcPr>
            <w:tcW w:w="633" w:type="pct"/>
            <w:vAlign w:val="center"/>
          </w:tcPr>
          <w:p w14:paraId="479FA9DD">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8</w:t>
            </w:r>
          </w:p>
        </w:tc>
        <w:tc>
          <w:tcPr>
            <w:tcW w:w="774" w:type="pct"/>
            <w:vAlign w:val="center"/>
          </w:tcPr>
          <w:p w14:paraId="27594AFF">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10</w:t>
            </w:r>
          </w:p>
        </w:tc>
        <w:tc>
          <w:tcPr>
            <w:tcW w:w="381" w:type="pct"/>
            <w:vAlign w:val="center"/>
          </w:tcPr>
          <w:p w14:paraId="56297231">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w:t>
            </w:r>
          </w:p>
        </w:tc>
        <w:tc>
          <w:tcPr>
            <w:tcW w:w="272" w:type="pct"/>
            <w:vAlign w:val="center"/>
          </w:tcPr>
          <w:p w14:paraId="3661CCEC">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w:t>
            </w:r>
          </w:p>
        </w:tc>
        <w:tc>
          <w:tcPr>
            <w:tcW w:w="312" w:type="pct"/>
            <w:vAlign w:val="center"/>
          </w:tcPr>
          <w:p w14:paraId="5B8EB2AF">
            <w:pPr>
              <w:pStyle w:val="2"/>
              <w:pageBreakBefore w:val="0"/>
              <w:kinsoku/>
              <w:wordWrap/>
              <w:overflowPunct/>
              <w:topLinePunct w:val="0"/>
              <w:bidi w:val="0"/>
              <w:snapToGrid/>
              <w:spacing w:after="0" w:line="360" w:lineRule="exact"/>
              <w:jc w:val="center"/>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5B20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24" w:type="pct"/>
            <w:vAlign w:val="bottom"/>
          </w:tcPr>
          <w:p w14:paraId="2AFA864B">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总计</w:t>
            </w:r>
          </w:p>
        </w:tc>
        <w:tc>
          <w:tcPr>
            <w:tcW w:w="663" w:type="pct"/>
            <w:vAlign w:val="center"/>
          </w:tcPr>
          <w:p w14:paraId="4E72F840">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70</w:t>
            </w:r>
          </w:p>
        </w:tc>
        <w:tc>
          <w:tcPr>
            <w:tcW w:w="640" w:type="pct"/>
            <w:vAlign w:val="center"/>
          </w:tcPr>
          <w:p w14:paraId="4AC53336">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0</w:t>
            </w:r>
          </w:p>
        </w:tc>
        <w:tc>
          <w:tcPr>
            <w:tcW w:w="595" w:type="pct"/>
            <w:vAlign w:val="center"/>
          </w:tcPr>
          <w:p w14:paraId="78F51F10">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3</w:t>
            </w:r>
          </w:p>
        </w:tc>
        <w:tc>
          <w:tcPr>
            <w:tcW w:w="633" w:type="pct"/>
            <w:vAlign w:val="center"/>
          </w:tcPr>
          <w:p w14:paraId="301560DC">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26</w:t>
            </w:r>
          </w:p>
        </w:tc>
        <w:tc>
          <w:tcPr>
            <w:tcW w:w="774" w:type="pct"/>
            <w:vAlign w:val="center"/>
          </w:tcPr>
          <w:p w14:paraId="05664502">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10</w:t>
            </w:r>
          </w:p>
        </w:tc>
        <w:tc>
          <w:tcPr>
            <w:tcW w:w="381" w:type="pct"/>
            <w:vAlign w:val="center"/>
          </w:tcPr>
          <w:p w14:paraId="2C80E001">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6</w:t>
            </w:r>
          </w:p>
        </w:tc>
        <w:tc>
          <w:tcPr>
            <w:tcW w:w="272" w:type="pct"/>
            <w:vAlign w:val="center"/>
          </w:tcPr>
          <w:p w14:paraId="3C8455B6">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5</w:t>
            </w:r>
          </w:p>
        </w:tc>
        <w:tc>
          <w:tcPr>
            <w:tcW w:w="312" w:type="pct"/>
            <w:vAlign w:val="center"/>
          </w:tcPr>
          <w:p w14:paraId="20674167">
            <w:pPr>
              <w:pStyle w:val="2"/>
              <w:pageBreakBefore w:val="0"/>
              <w:kinsoku/>
              <w:wordWrap/>
              <w:overflowPunct/>
              <w:topLinePunct w:val="0"/>
              <w:bidi w:val="0"/>
              <w:snapToGrid/>
              <w:spacing w:after="0" w:line="360" w:lineRule="exact"/>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120</w:t>
            </w:r>
          </w:p>
        </w:tc>
      </w:tr>
    </w:tbl>
    <w:p w14:paraId="1181D580">
      <w:pPr>
        <w:pStyle w:val="4"/>
        <w:pageBreakBefore w:val="0"/>
        <w:kinsoku/>
        <w:wordWrap/>
        <w:overflowPunct/>
        <w:topLinePunct w:val="0"/>
        <w:bidi w:val="0"/>
        <w:adjustRightInd w:val="0"/>
        <w:snapToGrid/>
        <w:spacing w:before="0" w:beforeLines="0" w:after="0" w:afterLines="0" w:line="360" w:lineRule="exact"/>
        <w:ind w:firstLine="422" w:firstLineChars="200"/>
        <w:textAlignment w:val="auto"/>
        <w:rPr>
          <w:sz w:val="21"/>
          <w:szCs w:val="21"/>
        </w:rPr>
      </w:pPr>
      <w:bookmarkStart w:id="25" w:name="_Toc9607"/>
      <w:bookmarkStart w:id="26" w:name="_Toc10922"/>
      <w:r>
        <w:rPr>
          <w:rFonts w:hint="eastAsia"/>
          <w:sz w:val="21"/>
          <w:szCs w:val="21"/>
        </w:rPr>
        <w:t>（二）教学历程表</w:t>
      </w:r>
      <w:bookmarkEnd w:id="25"/>
      <w:bookmarkEnd w:id="26"/>
    </w:p>
    <w:tbl>
      <w:tblPr>
        <w:tblStyle w:val="14"/>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4"/>
        <w:gridCol w:w="486"/>
        <w:gridCol w:w="406"/>
        <w:gridCol w:w="383"/>
        <w:gridCol w:w="406"/>
        <w:gridCol w:w="374"/>
        <w:gridCol w:w="397"/>
        <w:gridCol w:w="397"/>
        <w:gridCol w:w="383"/>
        <w:gridCol w:w="383"/>
        <w:gridCol w:w="383"/>
        <w:gridCol w:w="383"/>
        <w:gridCol w:w="397"/>
        <w:gridCol w:w="390"/>
        <w:gridCol w:w="397"/>
        <w:gridCol w:w="397"/>
        <w:gridCol w:w="397"/>
        <w:gridCol w:w="383"/>
        <w:gridCol w:w="397"/>
        <w:gridCol w:w="383"/>
        <w:gridCol w:w="389"/>
        <w:gridCol w:w="652"/>
      </w:tblGrid>
      <w:tr w14:paraId="6479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trPr>
        <w:tc>
          <w:tcPr>
            <w:tcW w:w="278" w:type="pct"/>
            <w:vMerge w:val="restart"/>
            <w:vAlign w:val="center"/>
          </w:tcPr>
          <w:p w14:paraId="4087D8F8">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学</w:t>
            </w:r>
          </w:p>
          <w:p w14:paraId="1E1CE9A4">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年</w:t>
            </w:r>
          </w:p>
        </w:tc>
        <w:tc>
          <w:tcPr>
            <w:tcW w:w="268" w:type="pct"/>
            <w:vMerge w:val="restart"/>
            <w:vAlign w:val="center"/>
          </w:tcPr>
          <w:p w14:paraId="31645391">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学</w:t>
            </w:r>
          </w:p>
          <w:p w14:paraId="5084964E">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期</w:t>
            </w:r>
          </w:p>
        </w:tc>
        <w:tc>
          <w:tcPr>
            <w:tcW w:w="4452" w:type="pct"/>
            <w:gridSpan w:val="20"/>
            <w:vAlign w:val="center"/>
          </w:tcPr>
          <w:p w14:paraId="004A2C41">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周次</w:t>
            </w:r>
          </w:p>
        </w:tc>
      </w:tr>
      <w:tr w14:paraId="731C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278" w:type="pct"/>
            <w:vMerge w:val="continue"/>
            <w:vAlign w:val="center"/>
          </w:tcPr>
          <w:p w14:paraId="432F9B82">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p>
        </w:tc>
        <w:tc>
          <w:tcPr>
            <w:tcW w:w="268" w:type="pct"/>
            <w:vMerge w:val="continue"/>
            <w:vAlign w:val="center"/>
          </w:tcPr>
          <w:p w14:paraId="76F0D53D">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p>
        </w:tc>
        <w:tc>
          <w:tcPr>
            <w:tcW w:w="224" w:type="pct"/>
            <w:vAlign w:val="center"/>
          </w:tcPr>
          <w:p w14:paraId="56DD6C25">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1</w:t>
            </w:r>
          </w:p>
        </w:tc>
        <w:tc>
          <w:tcPr>
            <w:tcW w:w="211" w:type="pct"/>
            <w:vAlign w:val="center"/>
          </w:tcPr>
          <w:p w14:paraId="2070C61F">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2</w:t>
            </w:r>
          </w:p>
        </w:tc>
        <w:tc>
          <w:tcPr>
            <w:tcW w:w="224" w:type="pct"/>
            <w:vAlign w:val="center"/>
          </w:tcPr>
          <w:p w14:paraId="3D4108C0">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3</w:t>
            </w:r>
          </w:p>
        </w:tc>
        <w:tc>
          <w:tcPr>
            <w:tcW w:w="206" w:type="pct"/>
            <w:vAlign w:val="center"/>
          </w:tcPr>
          <w:p w14:paraId="76ADE28F">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4</w:t>
            </w:r>
          </w:p>
        </w:tc>
        <w:tc>
          <w:tcPr>
            <w:tcW w:w="219" w:type="pct"/>
            <w:vAlign w:val="center"/>
          </w:tcPr>
          <w:p w14:paraId="604A29EE">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5</w:t>
            </w:r>
          </w:p>
        </w:tc>
        <w:tc>
          <w:tcPr>
            <w:tcW w:w="219" w:type="pct"/>
            <w:vAlign w:val="center"/>
          </w:tcPr>
          <w:p w14:paraId="399750D5">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6</w:t>
            </w:r>
          </w:p>
        </w:tc>
        <w:tc>
          <w:tcPr>
            <w:tcW w:w="211" w:type="pct"/>
            <w:vAlign w:val="center"/>
          </w:tcPr>
          <w:p w14:paraId="110F695E">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7</w:t>
            </w:r>
          </w:p>
        </w:tc>
        <w:tc>
          <w:tcPr>
            <w:tcW w:w="211" w:type="pct"/>
            <w:vAlign w:val="center"/>
          </w:tcPr>
          <w:p w14:paraId="09AF2B0D">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8</w:t>
            </w:r>
          </w:p>
        </w:tc>
        <w:tc>
          <w:tcPr>
            <w:tcW w:w="211" w:type="pct"/>
            <w:vAlign w:val="center"/>
          </w:tcPr>
          <w:p w14:paraId="7FA80CFB">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9</w:t>
            </w:r>
          </w:p>
        </w:tc>
        <w:tc>
          <w:tcPr>
            <w:tcW w:w="211" w:type="pct"/>
            <w:vAlign w:val="center"/>
          </w:tcPr>
          <w:p w14:paraId="13733304">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10</w:t>
            </w:r>
          </w:p>
        </w:tc>
        <w:tc>
          <w:tcPr>
            <w:tcW w:w="219" w:type="pct"/>
            <w:vAlign w:val="center"/>
          </w:tcPr>
          <w:p w14:paraId="4A468BB7">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11</w:t>
            </w:r>
          </w:p>
        </w:tc>
        <w:tc>
          <w:tcPr>
            <w:tcW w:w="215" w:type="pct"/>
            <w:vAlign w:val="center"/>
          </w:tcPr>
          <w:p w14:paraId="00AE0DDA">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12</w:t>
            </w:r>
          </w:p>
        </w:tc>
        <w:tc>
          <w:tcPr>
            <w:tcW w:w="219" w:type="pct"/>
            <w:vAlign w:val="center"/>
          </w:tcPr>
          <w:p w14:paraId="30C06831">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13</w:t>
            </w:r>
          </w:p>
        </w:tc>
        <w:tc>
          <w:tcPr>
            <w:tcW w:w="219" w:type="pct"/>
            <w:vAlign w:val="center"/>
          </w:tcPr>
          <w:p w14:paraId="7817094C">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14</w:t>
            </w:r>
          </w:p>
        </w:tc>
        <w:tc>
          <w:tcPr>
            <w:tcW w:w="219" w:type="pct"/>
            <w:vAlign w:val="center"/>
          </w:tcPr>
          <w:p w14:paraId="6F989368">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15</w:t>
            </w:r>
          </w:p>
        </w:tc>
        <w:tc>
          <w:tcPr>
            <w:tcW w:w="211" w:type="pct"/>
            <w:vAlign w:val="center"/>
          </w:tcPr>
          <w:p w14:paraId="33DCD94F">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16</w:t>
            </w:r>
          </w:p>
        </w:tc>
        <w:tc>
          <w:tcPr>
            <w:tcW w:w="219" w:type="pct"/>
            <w:vAlign w:val="center"/>
          </w:tcPr>
          <w:p w14:paraId="357DFF2A">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17</w:t>
            </w:r>
          </w:p>
        </w:tc>
        <w:tc>
          <w:tcPr>
            <w:tcW w:w="211" w:type="pct"/>
            <w:vAlign w:val="center"/>
          </w:tcPr>
          <w:p w14:paraId="77D968F3">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18</w:t>
            </w:r>
          </w:p>
        </w:tc>
        <w:tc>
          <w:tcPr>
            <w:tcW w:w="214" w:type="pct"/>
            <w:vAlign w:val="center"/>
          </w:tcPr>
          <w:p w14:paraId="1E00DA9D">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19</w:t>
            </w:r>
          </w:p>
        </w:tc>
        <w:tc>
          <w:tcPr>
            <w:tcW w:w="349" w:type="pct"/>
            <w:vAlign w:val="center"/>
          </w:tcPr>
          <w:p w14:paraId="0C0B4B94">
            <w:pPr>
              <w:pStyle w:val="2"/>
              <w:pageBreakBefore w:val="0"/>
              <w:kinsoku/>
              <w:wordWrap/>
              <w:overflowPunct/>
              <w:topLinePunct w:val="0"/>
              <w:bidi w:val="0"/>
              <w:snapToGrid/>
              <w:spacing w:after="0" w:line="360" w:lineRule="exact"/>
              <w:jc w:val="center"/>
              <w:textAlignment w:val="auto"/>
              <w:rPr>
                <w:rFonts w:ascii="宋体" w:hAnsi="宋体" w:cs="宋体"/>
                <w:b/>
                <w:bCs/>
                <w:sz w:val="21"/>
                <w:szCs w:val="21"/>
              </w:rPr>
            </w:pPr>
            <w:r>
              <w:rPr>
                <w:rFonts w:hint="eastAsia" w:ascii="宋体" w:hAnsi="宋体" w:cs="宋体"/>
                <w:b/>
                <w:bCs/>
                <w:sz w:val="21"/>
                <w:szCs w:val="21"/>
              </w:rPr>
              <w:t>20</w:t>
            </w:r>
          </w:p>
        </w:tc>
      </w:tr>
      <w:tr w14:paraId="048D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trPr>
        <w:tc>
          <w:tcPr>
            <w:tcW w:w="278" w:type="pct"/>
            <w:vMerge w:val="restart"/>
            <w:vAlign w:val="center"/>
          </w:tcPr>
          <w:p w14:paraId="136D9067">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一</w:t>
            </w:r>
          </w:p>
        </w:tc>
        <w:tc>
          <w:tcPr>
            <w:tcW w:w="268" w:type="pct"/>
            <w:vAlign w:val="center"/>
          </w:tcPr>
          <w:p w14:paraId="0F2A48FD">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1</w:t>
            </w:r>
          </w:p>
        </w:tc>
        <w:tc>
          <w:tcPr>
            <w:tcW w:w="224" w:type="pct"/>
            <w:vAlign w:val="center"/>
          </w:tcPr>
          <w:p w14:paraId="6DC2DC47">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c>
          <w:tcPr>
            <w:tcW w:w="211" w:type="pct"/>
            <w:vAlign w:val="center"/>
          </w:tcPr>
          <w:p w14:paraId="335CD132">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c>
          <w:tcPr>
            <w:tcW w:w="224" w:type="pct"/>
            <w:vAlign w:val="center"/>
          </w:tcPr>
          <w:p w14:paraId="6ECD9DC4">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c>
          <w:tcPr>
            <w:tcW w:w="206" w:type="pct"/>
            <w:vAlign w:val="center"/>
          </w:tcPr>
          <w:p w14:paraId="616BACEC">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c>
          <w:tcPr>
            <w:tcW w:w="219" w:type="pct"/>
            <w:vAlign w:val="center"/>
          </w:tcPr>
          <w:p w14:paraId="40059916">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c>
          <w:tcPr>
            <w:tcW w:w="219" w:type="pct"/>
            <w:vAlign w:val="center"/>
          </w:tcPr>
          <w:p w14:paraId="267DBF34">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c>
          <w:tcPr>
            <w:tcW w:w="211" w:type="pct"/>
            <w:vAlign w:val="center"/>
          </w:tcPr>
          <w:p w14:paraId="545811A4">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c>
          <w:tcPr>
            <w:tcW w:w="211" w:type="pct"/>
            <w:vAlign w:val="center"/>
          </w:tcPr>
          <w:p w14:paraId="5F64A978">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c>
          <w:tcPr>
            <w:tcW w:w="211" w:type="pct"/>
            <w:vAlign w:val="center"/>
          </w:tcPr>
          <w:p w14:paraId="3466CD21">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c>
          <w:tcPr>
            <w:tcW w:w="211" w:type="pct"/>
            <w:vAlign w:val="center"/>
          </w:tcPr>
          <w:p w14:paraId="08068434">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c>
          <w:tcPr>
            <w:tcW w:w="219" w:type="pct"/>
            <w:vAlign w:val="center"/>
          </w:tcPr>
          <w:p w14:paraId="247D8343">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c>
          <w:tcPr>
            <w:tcW w:w="215" w:type="pct"/>
            <w:vAlign w:val="center"/>
          </w:tcPr>
          <w:p w14:paraId="7B57B151">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c>
          <w:tcPr>
            <w:tcW w:w="219" w:type="pct"/>
            <w:vAlign w:val="center"/>
          </w:tcPr>
          <w:p w14:paraId="17544F01">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c>
          <w:tcPr>
            <w:tcW w:w="219" w:type="pct"/>
            <w:vAlign w:val="center"/>
          </w:tcPr>
          <w:p w14:paraId="30361354">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c>
          <w:tcPr>
            <w:tcW w:w="219" w:type="pct"/>
            <w:vAlign w:val="center"/>
          </w:tcPr>
          <w:p w14:paraId="092061B7">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c>
          <w:tcPr>
            <w:tcW w:w="211" w:type="pct"/>
            <w:vAlign w:val="center"/>
          </w:tcPr>
          <w:p w14:paraId="65FA58D0">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c>
          <w:tcPr>
            <w:tcW w:w="219" w:type="pct"/>
            <w:vAlign w:val="center"/>
          </w:tcPr>
          <w:p w14:paraId="17132F42">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c>
          <w:tcPr>
            <w:tcW w:w="211" w:type="pct"/>
            <w:vAlign w:val="center"/>
          </w:tcPr>
          <w:p w14:paraId="3D9DF68A">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c>
          <w:tcPr>
            <w:tcW w:w="214" w:type="pct"/>
            <w:vAlign w:val="center"/>
          </w:tcPr>
          <w:p w14:paraId="677C4166">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c>
          <w:tcPr>
            <w:tcW w:w="349" w:type="pct"/>
            <w:vAlign w:val="center"/>
          </w:tcPr>
          <w:p w14:paraId="514D97C0">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r>
      <w:tr w14:paraId="6DCC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278" w:type="pct"/>
            <w:vMerge w:val="continue"/>
            <w:vAlign w:val="center"/>
          </w:tcPr>
          <w:p w14:paraId="19F074E1">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p>
        </w:tc>
        <w:tc>
          <w:tcPr>
            <w:tcW w:w="268" w:type="pct"/>
            <w:vAlign w:val="center"/>
          </w:tcPr>
          <w:p w14:paraId="6212B1D4">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2</w:t>
            </w:r>
          </w:p>
        </w:tc>
        <w:tc>
          <w:tcPr>
            <w:tcW w:w="224" w:type="pct"/>
            <w:vAlign w:val="center"/>
          </w:tcPr>
          <w:p w14:paraId="0FA0B7B5">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79C4EF49">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24" w:type="pct"/>
            <w:vAlign w:val="center"/>
          </w:tcPr>
          <w:p w14:paraId="1F90CEC4">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06" w:type="pct"/>
            <w:vAlign w:val="center"/>
          </w:tcPr>
          <w:p w14:paraId="46753FB1">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5C28D715">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2AD9A949">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6F7A41F9">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2057E39E">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3CE2E89D">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44587F31">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2F675C31">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5" w:type="pct"/>
            <w:vAlign w:val="center"/>
          </w:tcPr>
          <w:p w14:paraId="26D96CD8">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320F452A">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6C8170BC">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18455DCC">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133F378B">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6EAE5284">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5981A6A7">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4" w:type="pct"/>
            <w:vAlign w:val="center"/>
          </w:tcPr>
          <w:p w14:paraId="083D8A58">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349" w:type="pct"/>
            <w:vAlign w:val="center"/>
          </w:tcPr>
          <w:p w14:paraId="5B7ABD7F">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r>
      <w:tr w14:paraId="15ED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trPr>
        <w:tc>
          <w:tcPr>
            <w:tcW w:w="278" w:type="pct"/>
            <w:vMerge w:val="restart"/>
            <w:vAlign w:val="center"/>
          </w:tcPr>
          <w:p w14:paraId="59452635">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二</w:t>
            </w:r>
          </w:p>
        </w:tc>
        <w:tc>
          <w:tcPr>
            <w:tcW w:w="268" w:type="pct"/>
            <w:vAlign w:val="center"/>
          </w:tcPr>
          <w:p w14:paraId="43FB2979">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3</w:t>
            </w:r>
          </w:p>
        </w:tc>
        <w:tc>
          <w:tcPr>
            <w:tcW w:w="224" w:type="pct"/>
            <w:vAlign w:val="center"/>
          </w:tcPr>
          <w:p w14:paraId="66A37681">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64A21612">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24" w:type="pct"/>
            <w:vAlign w:val="center"/>
          </w:tcPr>
          <w:p w14:paraId="4DA1D071">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06" w:type="pct"/>
            <w:vAlign w:val="center"/>
          </w:tcPr>
          <w:p w14:paraId="05DE1A6B">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4E4BA5D8">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3DFDB729">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227B0274">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08612E94">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7E689604">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3DF7332B">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7C18245F">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5" w:type="pct"/>
            <w:vAlign w:val="center"/>
          </w:tcPr>
          <w:p w14:paraId="4E80657F">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5FE60ACE">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07800ACA">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0EBECB8A">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2611DDF7">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7EFBAAB3">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03B0C81C">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4" w:type="pct"/>
            <w:vAlign w:val="center"/>
          </w:tcPr>
          <w:p w14:paraId="63D23307">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349" w:type="pct"/>
            <w:vAlign w:val="center"/>
          </w:tcPr>
          <w:p w14:paraId="0C6DA98B">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r>
      <w:tr w14:paraId="5941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278" w:type="pct"/>
            <w:vMerge w:val="continue"/>
            <w:vAlign w:val="center"/>
          </w:tcPr>
          <w:p w14:paraId="1F6BB246">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p>
        </w:tc>
        <w:tc>
          <w:tcPr>
            <w:tcW w:w="268" w:type="pct"/>
            <w:vAlign w:val="center"/>
          </w:tcPr>
          <w:p w14:paraId="66389C0D">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4</w:t>
            </w:r>
          </w:p>
        </w:tc>
        <w:tc>
          <w:tcPr>
            <w:tcW w:w="224" w:type="pct"/>
            <w:vAlign w:val="center"/>
          </w:tcPr>
          <w:p w14:paraId="2A7BDB7C">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125F1FEA">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24" w:type="pct"/>
            <w:vAlign w:val="center"/>
          </w:tcPr>
          <w:p w14:paraId="4CA31BE3">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06" w:type="pct"/>
            <w:vAlign w:val="center"/>
          </w:tcPr>
          <w:p w14:paraId="7D12B436">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76BF055F">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195DD208">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5680348B">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2261FBCB">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144A3DF3">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2A214AE1">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7B8A8DB7">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5" w:type="pct"/>
            <w:vAlign w:val="center"/>
          </w:tcPr>
          <w:p w14:paraId="20BD58D4">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5577B277">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0CF9778D">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2C351458">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14C7658F">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614A6496">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1EEB72DD">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4" w:type="pct"/>
            <w:vAlign w:val="center"/>
          </w:tcPr>
          <w:p w14:paraId="3979B9B5">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349" w:type="pct"/>
            <w:vAlign w:val="center"/>
          </w:tcPr>
          <w:p w14:paraId="1EC7AE41">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r>
      <w:tr w14:paraId="688C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278" w:type="pct"/>
            <w:vMerge w:val="restart"/>
            <w:vAlign w:val="center"/>
          </w:tcPr>
          <w:p w14:paraId="2DED2D78">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三</w:t>
            </w:r>
          </w:p>
        </w:tc>
        <w:tc>
          <w:tcPr>
            <w:tcW w:w="268" w:type="pct"/>
            <w:vAlign w:val="center"/>
          </w:tcPr>
          <w:p w14:paraId="3F8723A4">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5</w:t>
            </w:r>
          </w:p>
        </w:tc>
        <w:tc>
          <w:tcPr>
            <w:tcW w:w="224" w:type="pct"/>
            <w:vAlign w:val="center"/>
          </w:tcPr>
          <w:p w14:paraId="0BA18B21">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7D97B2A9">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24" w:type="pct"/>
            <w:vAlign w:val="center"/>
          </w:tcPr>
          <w:p w14:paraId="21B50D8C">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06" w:type="pct"/>
            <w:vAlign w:val="center"/>
          </w:tcPr>
          <w:p w14:paraId="7574C23B">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7EB34619">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6AD528A0">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30410D62">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03F33177">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1FC71FCB">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641B3756">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3005069F">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5" w:type="pct"/>
            <w:vAlign w:val="center"/>
          </w:tcPr>
          <w:p w14:paraId="61E2A339">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18F5C2EB">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11290209">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7AF760E5">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59C6BF01">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4DBC01A4">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308F1A06">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4" w:type="pct"/>
            <w:vAlign w:val="center"/>
          </w:tcPr>
          <w:p w14:paraId="2306FF4F">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349" w:type="pct"/>
            <w:vAlign w:val="center"/>
          </w:tcPr>
          <w:p w14:paraId="7D979068">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r>
      <w:tr w14:paraId="3E06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8" w:hRule="atLeast"/>
        </w:trPr>
        <w:tc>
          <w:tcPr>
            <w:tcW w:w="278" w:type="pct"/>
            <w:vMerge w:val="continue"/>
            <w:vAlign w:val="center"/>
          </w:tcPr>
          <w:p w14:paraId="3C6F0816">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p>
        </w:tc>
        <w:tc>
          <w:tcPr>
            <w:tcW w:w="268" w:type="pct"/>
            <w:vAlign w:val="center"/>
          </w:tcPr>
          <w:p w14:paraId="1AF20956">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6</w:t>
            </w:r>
          </w:p>
        </w:tc>
        <w:tc>
          <w:tcPr>
            <w:tcW w:w="224" w:type="pct"/>
            <w:vAlign w:val="center"/>
          </w:tcPr>
          <w:p w14:paraId="656B0452">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0D5A12EC">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24" w:type="pct"/>
            <w:vAlign w:val="center"/>
          </w:tcPr>
          <w:p w14:paraId="454920C9">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06" w:type="pct"/>
            <w:vAlign w:val="center"/>
          </w:tcPr>
          <w:p w14:paraId="438B8F04">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3096F876">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7B2C1E3B">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37214D5A">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183D75E0">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38D6103E">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7D44F39F">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4EDC6CFF">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5" w:type="pct"/>
            <w:vAlign w:val="center"/>
          </w:tcPr>
          <w:p w14:paraId="3B3DF928">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48CA4765">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7E3DEEDD">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424A02BA">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3897C8DE">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9" w:type="pct"/>
            <w:vAlign w:val="center"/>
          </w:tcPr>
          <w:p w14:paraId="049937B1">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1" w:type="pct"/>
            <w:vAlign w:val="center"/>
          </w:tcPr>
          <w:p w14:paraId="05A8D142">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214" w:type="pct"/>
            <w:vAlign w:val="center"/>
          </w:tcPr>
          <w:p w14:paraId="7EEFD768">
            <w:pPr>
              <w:pStyle w:val="2"/>
              <w:pageBreakBefore w:val="0"/>
              <w:kinsoku/>
              <w:wordWrap/>
              <w:overflowPunct/>
              <w:topLinePunct w:val="0"/>
              <w:bidi w:val="0"/>
              <w:snapToGrid/>
              <w:spacing w:after="0" w:line="360" w:lineRule="exact"/>
              <w:jc w:val="center"/>
              <w:textAlignment w:val="auto"/>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349" w:type="pct"/>
            <w:vAlign w:val="center"/>
          </w:tcPr>
          <w:p w14:paraId="5E44DCE8">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w:t>
            </w:r>
          </w:p>
        </w:tc>
      </w:tr>
    </w:tbl>
    <w:p w14:paraId="6AA1C7A6">
      <w:pPr>
        <w:pageBreakBefore w:val="0"/>
        <w:kinsoku/>
        <w:wordWrap/>
        <w:overflowPunct/>
        <w:topLinePunct w:val="0"/>
        <w:bidi w:val="0"/>
        <w:snapToGrid/>
        <w:spacing w:line="360" w:lineRule="exact"/>
        <w:ind w:left="525" w:hanging="525" w:hangingChars="250"/>
        <w:textAlignment w:val="auto"/>
        <w:rPr>
          <w:rFonts w:ascii="宋体" w:hAnsi="宋体" w:cs="宋体"/>
          <w:szCs w:val="21"/>
        </w:rPr>
      </w:pPr>
      <w:r>
        <w:rPr>
          <w:rFonts w:hint="eastAsia" w:ascii="宋体" w:hAnsi="宋体" w:cs="宋体"/>
          <w:szCs w:val="21"/>
        </w:rPr>
        <w:t>图注：～理论教学；○实习（实训）；△机动；：考试；●岗位实习； /毕业设计；</w:t>
      </w:r>
    </w:p>
    <w:p w14:paraId="12708BE5">
      <w:pPr>
        <w:pageBreakBefore w:val="0"/>
        <w:kinsoku/>
        <w:wordWrap/>
        <w:overflowPunct/>
        <w:topLinePunct w:val="0"/>
        <w:bidi w:val="0"/>
        <w:snapToGrid/>
        <w:spacing w:line="360" w:lineRule="exact"/>
        <w:ind w:firstLine="630" w:firstLineChars="300"/>
        <w:textAlignment w:val="auto"/>
        <w:rPr>
          <w:rFonts w:ascii="宋体" w:hAnsi="宋体" w:cs="宋体"/>
          <w:szCs w:val="21"/>
        </w:rPr>
      </w:pPr>
      <w:r>
        <w:rPr>
          <w:rFonts w:hint="eastAsia" w:ascii="宋体" w:hAnsi="宋体" w:cs="宋体"/>
          <w:szCs w:val="21"/>
        </w:rPr>
        <w:t>☆军事技能训练及入学教育；◎毕业教育，融入毕业设计环节。</w:t>
      </w:r>
    </w:p>
    <w:p w14:paraId="2D413371">
      <w:pPr>
        <w:pageBreakBefore w:val="0"/>
        <w:kinsoku/>
        <w:wordWrap/>
        <w:overflowPunct/>
        <w:topLinePunct w:val="0"/>
        <w:bidi w:val="0"/>
        <w:snapToGrid/>
        <w:spacing w:line="360" w:lineRule="exact"/>
        <w:textAlignment w:val="auto"/>
        <w:rPr>
          <w:rFonts w:ascii="宋体" w:hAnsi="宋体" w:cs="宋体"/>
          <w:szCs w:val="21"/>
        </w:rPr>
      </w:pPr>
      <w:r>
        <w:rPr>
          <w:rFonts w:hint="eastAsia" w:ascii="宋体" w:hAnsi="宋体" w:cs="宋体"/>
          <w:szCs w:val="21"/>
        </w:rPr>
        <w:br w:type="page"/>
      </w:r>
    </w:p>
    <w:p w14:paraId="64571069">
      <w:pPr>
        <w:pStyle w:val="4"/>
        <w:pageBreakBefore w:val="0"/>
        <w:kinsoku/>
        <w:wordWrap/>
        <w:overflowPunct/>
        <w:topLinePunct w:val="0"/>
        <w:bidi w:val="0"/>
        <w:adjustRightInd w:val="0"/>
        <w:snapToGrid/>
        <w:spacing w:before="0" w:beforeLines="0" w:after="0" w:afterLines="0" w:line="360" w:lineRule="exact"/>
        <w:ind w:firstLine="422" w:firstLineChars="200"/>
        <w:textAlignment w:val="auto"/>
        <w:rPr>
          <w:rFonts w:ascii="宋体" w:hAnsi="宋体"/>
          <w:bCs/>
          <w:sz w:val="21"/>
          <w:szCs w:val="21"/>
        </w:rPr>
      </w:pPr>
      <w:r>
        <w:rPr>
          <w:rFonts w:hint="eastAsia"/>
          <w:sz w:val="21"/>
          <w:szCs w:val="21"/>
        </w:rPr>
        <w:t>（三）专业教学进程表</w:t>
      </w:r>
    </w:p>
    <w:p w14:paraId="5204E6BB">
      <w:pPr>
        <w:pageBreakBefore w:val="0"/>
        <w:kinsoku/>
        <w:wordWrap/>
        <w:overflowPunct/>
        <w:topLinePunct w:val="0"/>
        <w:bidi w:val="0"/>
        <w:snapToGrid/>
        <w:spacing w:line="360" w:lineRule="exact"/>
        <w:ind w:firstLine="422" w:firstLineChars="200"/>
        <w:jc w:val="center"/>
        <w:textAlignment w:val="auto"/>
        <w:rPr>
          <w:b/>
          <w:bCs/>
          <w:szCs w:val="21"/>
        </w:rPr>
      </w:pPr>
      <w:r>
        <w:rPr>
          <w:rFonts w:hint="eastAsia" w:ascii="宋体" w:hAnsi="宋体"/>
          <w:b/>
          <w:bCs/>
          <w:szCs w:val="21"/>
        </w:rPr>
        <w:t>专业教学进度安排表</w:t>
      </w:r>
    </w:p>
    <w:tbl>
      <w:tblPr>
        <w:tblStyle w:val="14"/>
        <w:tblW w:w="11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
        <w:gridCol w:w="436"/>
        <w:gridCol w:w="425"/>
        <w:gridCol w:w="952"/>
        <w:gridCol w:w="1918"/>
        <w:gridCol w:w="426"/>
        <w:gridCol w:w="630"/>
        <w:gridCol w:w="630"/>
        <w:gridCol w:w="615"/>
        <w:gridCol w:w="495"/>
        <w:gridCol w:w="525"/>
        <w:gridCol w:w="510"/>
        <w:gridCol w:w="555"/>
        <w:gridCol w:w="495"/>
        <w:gridCol w:w="510"/>
        <w:gridCol w:w="510"/>
        <w:gridCol w:w="675"/>
        <w:gridCol w:w="345"/>
      </w:tblGrid>
      <w:tr w14:paraId="09C0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00" w:type="dxa"/>
            <w:gridSpan w:val="2"/>
            <w:vMerge w:val="restart"/>
            <w:vAlign w:val="center"/>
          </w:tcPr>
          <w:p w14:paraId="54B66D02">
            <w:pPr>
              <w:pageBreakBefore w:val="0"/>
              <w:widowControl/>
              <w:kinsoku/>
              <w:wordWrap/>
              <w:overflowPunct/>
              <w:topLinePunct w:val="0"/>
              <w:bidi w:val="0"/>
              <w:snapToGrid/>
              <w:spacing w:line="360" w:lineRule="exact"/>
              <w:jc w:val="center"/>
              <w:textAlignment w:val="auto"/>
              <w:rPr>
                <w:rFonts w:ascii="宋体" w:hAnsi="宋体" w:cs="宋体"/>
                <w:b/>
                <w:bCs/>
                <w:color w:val="000000"/>
                <w:kern w:val="0"/>
                <w:sz w:val="21"/>
                <w:szCs w:val="21"/>
              </w:rPr>
            </w:pPr>
            <w:r>
              <w:rPr>
                <w:rFonts w:hint="eastAsia" w:ascii="宋体" w:hAnsi="宋体" w:cs="宋体"/>
                <w:b/>
                <w:bCs/>
                <w:color w:val="000000"/>
                <w:kern w:val="0"/>
                <w:sz w:val="21"/>
                <w:szCs w:val="21"/>
              </w:rPr>
              <w:t>课程类别</w:t>
            </w:r>
          </w:p>
          <w:p w14:paraId="4A81534D">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kern w:val="0"/>
                <w:sz w:val="21"/>
                <w:szCs w:val="21"/>
              </w:rPr>
              <w:t>课程性质</w:t>
            </w:r>
          </w:p>
        </w:tc>
        <w:tc>
          <w:tcPr>
            <w:tcW w:w="425" w:type="dxa"/>
            <w:vMerge w:val="restart"/>
            <w:vAlign w:val="center"/>
          </w:tcPr>
          <w:p w14:paraId="6B8CD299">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序号</w:t>
            </w:r>
          </w:p>
        </w:tc>
        <w:tc>
          <w:tcPr>
            <w:tcW w:w="952" w:type="dxa"/>
            <w:vMerge w:val="restart"/>
            <w:vAlign w:val="center"/>
          </w:tcPr>
          <w:p w14:paraId="6BD10A07">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课程代码</w:t>
            </w:r>
          </w:p>
        </w:tc>
        <w:tc>
          <w:tcPr>
            <w:tcW w:w="1918" w:type="dxa"/>
            <w:vMerge w:val="restart"/>
            <w:vAlign w:val="center"/>
          </w:tcPr>
          <w:p w14:paraId="6EE23AA9">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课程名称</w:t>
            </w:r>
          </w:p>
        </w:tc>
        <w:tc>
          <w:tcPr>
            <w:tcW w:w="426" w:type="dxa"/>
            <w:vMerge w:val="restart"/>
            <w:vAlign w:val="center"/>
          </w:tcPr>
          <w:p w14:paraId="255B9164">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课程类型</w:t>
            </w:r>
          </w:p>
        </w:tc>
        <w:tc>
          <w:tcPr>
            <w:tcW w:w="630" w:type="dxa"/>
            <w:vMerge w:val="restart"/>
            <w:vAlign w:val="center"/>
          </w:tcPr>
          <w:p w14:paraId="62C3E263">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p w14:paraId="73F10EAD">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总学时</w:t>
            </w:r>
          </w:p>
        </w:tc>
        <w:tc>
          <w:tcPr>
            <w:tcW w:w="630" w:type="dxa"/>
            <w:vMerge w:val="restart"/>
            <w:vAlign w:val="center"/>
          </w:tcPr>
          <w:p w14:paraId="4927B0ED">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理论学时</w:t>
            </w:r>
          </w:p>
        </w:tc>
        <w:tc>
          <w:tcPr>
            <w:tcW w:w="615" w:type="dxa"/>
            <w:vMerge w:val="restart"/>
            <w:vAlign w:val="center"/>
          </w:tcPr>
          <w:p w14:paraId="26741EB8">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实践学时</w:t>
            </w:r>
          </w:p>
        </w:tc>
        <w:tc>
          <w:tcPr>
            <w:tcW w:w="495" w:type="dxa"/>
            <w:vMerge w:val="restart"/>
            <w:vAlign w:val="center"/>
          </w:tcPr>
          <w:p w14:paraId="195C3F59">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总学分</w:t>
            </w:r>
          </w:p>
          <w:p w14:paraId="19A00EE2">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c>
          <w:tcPr>
            <w:tcW w:w="3105" w:type="dxa"/>
            <w:gridSpan w:val="6"/>
            <w:vAlign w:val="center"/>
          </w:tcPr>
          <w:p w14:paraId="41A4CB24">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按学年、学期及学期学时分配</w:t>
            </w:r>
          </w:p>
        </w:tc>
        <w:tc>
          <w:tcPr>
            <w:tcW w:w="675" w:type="dxa"/>
            <w:vMerge w:val="restart"/>
            <w:vAlign w:val="center"/>
          </w:tcPr>
          <w:p w14:paraId="2355E9E2">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考核方式</w:t>
            </w:r>
          </w:p>
        </w:tc>
        <w:tc>
          <w:tcPr>
            <w:tcW w:w="345" w:type="dxa"/>
            <w:vMerge w:val="restart"/>
            <w:vAlign w:val="center"/>
          </w:tcPr>
          <w:p w14:paraId="410298B2">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备注</w:t>
            </w:r>
          </w:p>
        </w:tc>
      </w:tr>
      <w:tr w14:paraId="37F0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00" w:type="dxa"/>
            <w:gridSpan w:val="2"/>
            <w:vMerge w:val="continue"/>
            <w:vAlign w:val="center"/>
          </w:tcPr>
          <w:p w14:paraId="50510E3D">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c>
          <w:tcPr>
            <w:tcW w:w="425" w:type="dxa"/>
            <w:vMerge w:val="continue"/>
            <w:vAlign w:val="center"/>
          </w:tcPr>
          <w:p w14:paraId="1726E877">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c>
          <w:tcPr>
            <w:tcW w:w="952" w:type="dxa"/>
            <w:vMerge w:val="continue"/>
            <w:vAlign w:val="center"/>
          </w:tcPr>
          <w:p w14:paraId="4CB1043C">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c>
          <w:tcPr>
            <w:tcW w:w="1918" w:type="dxa"/>
            <w:vMerge w:val="continue"/>
            <w:vAlign w:val="center"/>
          </w:tcPr>
          <w:p w14:paraId="54EAC971">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c>
          <w:tcPr>
            <w:tcW w:w="426" w:type="dxa"/>
            <w:vMerge w:val="continue"/>
            <w:vAlign w:val="center"/>
          </w:tcPr>
          <w:p w14:paraId="13278099">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c>
          <w:tcPr>
            <w:tcW w:w="630" w:type="dxa"/>
            <w:vMerge w:val="continue"/>
            <w:vAlign w:val="center"/>
          </w:tcPr>
          <w:p w14:paraId="31A609D0">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c>
          <w:tcPr>
            <w:tcW w:w="630" w:type="dxa"/>
            <w:vMerge w:val="continue"/>
            <w:vAlign w:val="center"/>
          </w:tcPr>
          <w:p w14:paraId="20EC5D27">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c>
          <w:tcPr>
            <w:tcW w:w="615" w:type="dxa"/>
            <w:vMerge w:val="continue"/>
            <w:vAlign w:val="center"/>
          </w:tcPr>
          <w:p w14:paraId="3F682B20">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c>
          <w:tcPr>
            <w:tcW w:w="495" w:type="dxa"/>
            <w:vMerge w:val="continue"/>
            <w:vAlign w:val="center"/>
          </w:tcPr>
          <w:p w14:paraId="66018829">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c>
          <w:tcPr>
            <w:tcW w:w="1035" w:type="dxa"/>
            <w:gridSpan w:val="2"/>
            <w:vAlign w:val="center"/>
          </w:tcPr>
          <w:p w14:paraId="2C3B71B0">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第一学年</w:t>
            </w:r>
          </w:p>
        </w:tc>
        <w:tc>
          <w:tcPr>
            <w:tcW w:w="1050" w:type="dxa"/>
            <w:gridSpan w:val="2"/>
            <w:vAlign w:val="center"/>
          </w:tcPr>
          <w:p w14:paraId="78D7FAF7">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第二学年</w:t>
            </w:r>
          </w:p>
        </w:tc>
        <w:tc>
          <w:tcPr>
            <w:tcW w:w="1020" w:type="dxa"/>
            <w:gridSpan w:val="2"/>
            <w:vAlign w:val="center"/>
          </w:tcPr>
          <w:p w14:paraId="0868E78D">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第三学年</w:t>
            </w:r>
          </w:p>
        </w:tc>
        <w:tc>
          <w:tcPr>
            <w:tcW w:w="675" w:type="dxa"/>
            <w:vMerge w:val="continue"/>
            <w:vAlign w:val="center"/>
          </w:tcPr>
          <w:p w14:paraId="4F9C3AA7">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c>
          <w:tcPr>
            <w:tcW w:w="345" w:type="dxa"/>
            <w:vMerge w:val="continue"/>
            <w:vAlign w:val="center"/>
          </w:tcPr>
          <w:p w14:paraId="0D2F66B5">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r>
      <w:tr w14:paraId="2771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00" w:type="dxa"/>
            <w:gridSpan w:val="2"/>
            <w:vMerge w:val="continue"/>
            <w:vAlign w:val="center"/>
          </w:tcPr>
          <w:p w14:paraId="38C7788E">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c>
          <w:tcPr>
            <w:tcW w:w="425" w:type="dxa"/>
            <w:vMerge w:val="continue"/>
            <w:vAlign w:val="center"/>
          </w:tcPr>
          <w:p w14:paraId="6D7D9E23">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c>
          <w:tcPr>
            <w:tcW w:w="952" w:type="dxa"/>
            <w:vMerge w:val="continue"/>
            <w:vAlign w:val="center"/>
          </w:tcPr>
          <w:p w14:paraId="17A6E110">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c>
          <w:tcPr>
            <w:tcW w:w="1918" w:type="dxa"/>
            <w:vMerge w:val="continue"/>
            <w:vAlign w:val="center"/>
          </w:tcPr>
          <w:p w14:paraId="357D2318">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c>
          <w:tcPr>
            <w:tcW w:w="426" w:type="dxa"/>
            <w:vMerge w:val="continue"/>
            <w:vAlign w:val="center"/>
          </w:tcPr>
          <w:p w14:paraId="151695D9">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c>
          <w:tcPr>
            <w:tcW w:w="630" w:type="dxa"/>
            <w:vMerge w:val="continue"/>
            <w:vAlign w:val="center"/>
          </w:tcPr>
          <w:p w14:paraId="0F9B35CD">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c>
          <w:tcPr>
            <w:tcW w:w="630" w:type="dxa"/>
            <w:vMerge w:val="continue"/>
            <w:vAlign w:val="center"/>
          </w:tcPr>
          <w:p w14:paraId="659904D3">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c>
          <w:tcPr>
            <w:tcW w:w="615" w:type="dxa"/>
            <w:vMerge w:val="continue"/>
            <w:vAlign w:val="center"/>
          </w:tcPr>
          <w:p w14:paraId="23606398">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c>
          <w:tcPr>
            <w:tcW w:w="495" w:type="dxa"/>
            <w:vMerge w:val="continue"/>
            <w:vAlign w:val="center"/>
          </w:tcPr>
          <w:p w14:paraId="428A97CC">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c>
          <w:tcPr>
            <w:tcW w:w="525" w:type="dxa"/>
            <w:vAlign w:val="center"/>
          </w:tcPr>
          <w:p w14:paraId="6235B000">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第一学期</w:t>
            </w:r>
          </w:p>
        </w:tc>
        <w:tc>
          <w:tcPr>
            <w:tcW w:w="510" w:type="dxa"/>
            <w:vAlign w:val="center"/>
          </w:tcPr>
          <w:p w14:paraId="5B410BAC">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第二学期</w:t>
            </w:r>
          </w:p>
        </w:tc>
        <w:tc>
          <w:tcPr>
            <w:tcW w:w="555" w:type="dxa"/>
            <w:vAlign w:val="center"/>
          </w:tcPr>
          <w:p w14:paraId="54533B01">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第三学期</w:t>
            </w:r>
          </w:p>
        </w:tc>
        <w:tc>
          <w:tcPr>
            <w:tcW w:w="495" w:type="dxa"/>
            <w:vAlign w:val="center"/>
          </w:tcPr>
          <w:p w14:paraId="2B5670EB">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第四学期</w:t>
            </w:r>
          </w:p>
        </w:tc>
        <w:tc>
          <w:tcPr>
            <w:tcW w:w="510" w:type="dxa"/>
            <w:vAlign w:val="center"/>
          </w:tcPr>
          <w:p w14:paraId="5EEDE2AD">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第五学期</w:t>
            </w:r>
          </w:p>
        </w:tc>
        <w:tc>
          <w:tcPr>
            <w:tcW w:w="510" w:type="dxa"/>
            <w:vAlign w:val="center"/>
          </w:tcPr>
          <w:p w14:paraId="29C0C0F0">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第六学期</w:t>
            </w:r>
          </w:p>
        </w:tc>
        <w:tc>
          <w:tcPr>
            <w:tcW w:w="675" w:type="dxa"/>
            <w:vMerge w:val="continue"/>
            <w:vAlign w:val="center"/>
          </w:tcPr>
          <w:p w14:paraId="588059C6">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c>
          <w:tcPr>
            <w:tcW w:w="345" w:type="dxa"/>
            <w:vMerge w:val="continue"/>
            <w:vAlign w:val="center"/>
          </w:tcPr>
          <w:p w14:paraId="11EF4892">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21"/>
                <w:szCs w:val="21"/>
                <w14:textFill>
                  <w14:solidFill>
                    <w14:schemeClr w14:val="tx1"/>
                  </w14:solidFill>
                </w14:textFill>
              </w:rPr>
            </w:pPr>
          </w:p>
        </w:tc>
      </w:tr>
      <w:tr w14:paraId="1EEF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4" w:type="dxa"/>
            <w:vMerge w:val="restart"/>
            <w:vAlign w:val="center"/>
          </w:tcPr>
          <w:p w14:paraId="74BFBAC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公共基础课</w:t>
            </w:r>
          </w:p>
        </w:tc>
        <w:tc>
          <w:tcPr>
            <w:tcW w:w="436" w:type="dxa"/>
            <w:vMerge w:val="restart"/>
            <w:vAlign w:val="center"/>
          </w:tcPr>
          <w:p w14:paraId="58F5487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必修课</w:t>
            </w:r>
          </w:p>
        </w:tc>
        <w:tc>
          <w:tcPr>
            <w:tcW w:w="425" w:type="dxa"/>
            <w:vAlign w:val="center"/>
          </w:tcPr>
          <w:p w14:paraId="5801D9A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52" w:type="dxa"/>
            <w:vAlign w:val="center"/>
          </w:tcPr>
          <w:p w14:paraId="7C9273F1">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000000G</w:t>
            </w:r>
          </w:p>
        </w:tc>
        <w:tc>
          <w:tcPr>
            <w:tcW w:w="1918" w:type="dxa"/>
            <w:vAlign w:val="center"/>
          </w:tcPr>
          <w:p w14:paraId="6BD3768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军事技能训练及入学教育</w:t>
            </w:r>
          </w:p>
        </w:tc>
        <w:tc>
          <w:tcPr>
            <w:tcW w:w="426" w:type="dxa"/>
            <w:vAlign w:val="center"/>
          </w:tcPr>
          <w:p w14:paraId="3EA9408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C</w:t>
            </w:r>
          </w:p>
        </w:tc>
        <w:tc>
          <w:tcPr>
            <w:tcW w:w="630" w:type="dxa"/>
            <w:vAlign w:val="center"/>
          </w:tcPr>
          <w:p w14:paraId="76534B7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630" w:type="dxa"/>
            <w:vAlign w:val="center"/>
          </w:tcPr>
          <w:p w14:paraId="1FF1CDE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15" w:type="dxa"/>
            <w:vAlign w:val="center"/>
          </w:tcPr>
          <w:p w14:paraId="6A93491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495" w:type="dxa"/>
            <w:vAlign w:val="center"/>
          </w:tcPr>
          <w:p w14:paraId="285BC90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525" w:type="dxa"/>
            <w:vAlign w:val="center"/>
          </w:tcPr>
          <w:p w14:paraId="5C245995">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w:t>
            </w:r>
          </w:p>
        </w:tc>
        <w:tc>
          <w:tcPr>
            <w:tcW w:w="510" w:type="dxa"/>
            <w:vAlign w:val="center"/>
          </w:tcPr>
          <w:p w14:paraId="642548B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55" w:type="dxa"/>
            <w:vAlign w:val="center"/>
          </w:tcPr>
          <w:p w14:paraId="2F5E6C4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vAlign w:val="center"/>
          </w:tcPr>
          <w:p w14:paraId="73AC1DA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25D9AF0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5662BCD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2405B97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345" w:type="dxa"/>
            <w:vAlign w:val="center"/>
          </w:tcPr>
          <w:p w14:paraId="12EC6013">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377C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6222F762">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351F540C">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302E2D6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952" w:type="dxa"/>
            <w:shd w:val="clear" w:color="auto" w:fill="auto"/>
            <w:vAlign w:val="center"/>
          </w:tcPr>
          <w:p w14:paraId="6DFAB29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000008G</w:t>
            </w:r>
          </w:p>
        </w:tc>
        <w:tc>
          <w:tcPr>
            <w:tcW w:w="1918" w:type="dxa"/>
            <w:shd w:val="clear" w:color="auto" w:fill="auto"/>
            <w:vAlign w:val="center"/>
          </w:tcPr>
          <w:p w14:paraId="280376B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军事理论</w:t>
            </w:r>
          </w:p>
        </w:tc>
        <w:tc>
          <w:tcPr>
            <w:tcW w:w="426" w:type="dxa"/>
            <w:shd w:val="clear" w:color="auto" w:fill="auto"/>
            <w:vAlign w:val="center"/>
          </w:tcPr>
          <w:p w14:paraId="38B3D1A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shd w:val="clear" w:color="auto" w:fill="auto"/>
            <w:vAlign w:val="center"/>
          </w:tcPr>
          <w:p w14:paraId="516F504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630" w:type="dxa"/>
            <w:shd w:val="clear" w:color="auto" w:fill="auto"/>
            <w:vAlign w:val="center"/>
          </w:tcPr>
          <w:p w14:paraId="203C73A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615" w:type="dxa"/>
            <w:shd w:val="clear" w:color="auto" w:fill="auto"/>
            <w:vAlign w:val="center"/>
          </w:tcPr>
          <w:p w14:paraId="43E552D1">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495" w:type="dxa"/>
            <w:shd w:val="clear" w:color="auto" w:fill="auto"/>
            <w:vAlign w:val="center"/>
          </w:tcPr>
          <w:p w14:paraId="5E7C314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25" w:type="dxa"/>
            <w:shd w:val="clear" w:color="auto" w:fill="auto"/>
            <w:vAlign w:val="center"/>
          </w:tcPr>
          <w:p w14:paraId="70DC103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10" w:type="dxa"/>
            <w:vAlign w:val="center"/>
          </w:tcPr>
          <w:p w14:paraId="6CB644E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55" w:type="dxa"/>
            <w:vAlign w:val="center"/>
          </w:tcPr>
          <w:p w14:paraId="10C8BD2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vAlign w:val="center"/>
          </w:tcPr>
          <w:p w14:paraId="4AD15AC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0E6E3B3A">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7D7D55F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7178CBC3">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color w:val="000000"/>
                <w:kern w:val="0"/>
                <w:sz w:val="18"/>
                <w:szCs w:val="18"/>
              </w:rPr>
              <w:t>①</w:t>
            </w:r>
          </w:p>
        </w:tc>
        <w:tc>
          <w:tcPr>
            <w:tcW w:w="345" w:type="dxa"/>
            <w:vAlign w:val="center"/>
          </w:tcPr>
          <w:p w14:paraId="06117CB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6A57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12FB3E6E">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5E1AD836">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2C87C175">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952" w:type="dxa"/>
            <w:shd w:val="clear" w:color="auto" w:fill="auto"/>
            <w:vAlign w:val="center"/>
          </w:tcPr>
          <w:p w14:paraId="174E12C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000001G</w:t>
            </w:r>
          </w:p>
        </w:tc>
        <w:tc>
          <w:tcPr>
            <w:tcW w:w="1918" w:type="dxa"/>
            <w:shd w:val="clear" w:color="auto" w:fill="auto"/>
            <w:vAlign w:val="center"/>
          </w:tcPr>
          <w:p w14:paraId="5494E1E1">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思想道德与法治</w:t>
            </w:r>
          </w:p>
        </w:tc>
        <w:tc>
          <w:tcPr>
            <w:tcW w:w="426" w:type="dxa"/>
            <w:shd w:val="clear" w:color="auto" w:fill="auto"/>
            <w:vAlign w:val="center"/>
          </w:tcPr>
          <w:p w14:paraId="0225146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shd w:val="clear" w:color="auto" w:fill="auto"/>
            <w:vAlign w:val="center"/>
          </w:tcPr>
          <w:p w14:paraId="7A3A261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48</w:t>
            </w:r>
          </w:p>
        </w:tc>
        <w:tc>
          <w:tcPr>
            <w:tcW w:w="630" w:type="dxa"/>
            <w:shd w:val="clear" w:color="auto" w:fill="auto"/>
            <w:vAlign w:val="center"/>
          </w:tcPr>
          <w:p w14:paraId="171C0C45">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42</w:t>
            </w:r>
          </w:p>
        </w:tc>
        <w:tc>
          <w:tcPr>
            <w:tcW w:w="615" w:type="dxa"/>
            <w:shd w:val="clear" w:color="auto" w:fill="auto"/>
            <w:vAlign w:val="center"/>
          </w:tcPr>
          <w:p w14:paraId="319AE92A">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6</w:t>
            </w:r>
          </w:p>
        </w:tc>
        <w:tc>
          <w:tcPr>
            <w:tcW w:w="495" w:type="dxa"/>
            <w:shd w:val="clear" w:color="auto" w:fill="auto"/>
            <w:vAlign w:val="center"/>
          </w:tcPr>
          <w:p w14:paraId="32ED617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525" w:type="dxa"/>
            <w:shd w:val="clear" w:color="auto" w:fill="auto"/>
            <w:vAlign w:val="center"/>
          </w:tcPr>
          <w:p w14:paraId="6D32535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48</w:t>
            </w:r>
          </w:p>
        </w:tc>
        <w:tc>
          <w:tcPr>
            <w:tcW w:w="510" w:type="dxa"/>
            <w:shd w:val="clear" w:color="auto" w:fill="auto"/>
            <w:vAlign w:val="center"/>
          </w:tcPr>
          <w:p w14:paraId="0114223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55" w:type="dxa"/>
            <w:shd w:val="clear" w:color="auto" w:fill="auto"/>
            <w:vAlign w:val="center"/>
          </w:tcPr>
          <w:p w14:paraId="760EFD2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shd w:val="clear" w:color="auto" w:fill="auto"/>
            <w:vAlign w:val="center"/>
          </w:tcPr>
          <w:p w14:paraId="6D00323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6CEAA10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3C9BB2D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535398C1">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②</w:t>
            </w:r>
          </w:p>
        </w:tc>
        <w:tc>
          <w:tcPr>
            <w:tcW w:w="345" w:type="dxa"/>
            <w:vAlign w:val="center"/>
          </w:tcPr>
          <w:p w14:paraId="05CD739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39C0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4" w:type="dxa"/>
            <w:vMerge w:val="continue"/>
            <w:vAlign w:val="center"/>
          </w:tcPr>
          <w:p w14:paraId="432E0A0E">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754E9054">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0B7AC58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952" w:type="dxa"/>
            <w:shd w:val="clear" w:color="auto" w:fill="auto"/>
            <w:vAlign w:val="center"/>
          </w:tcPr>
          <w:p w14:paraId="33816FD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000011G</w:t>
            </w:r>
          </w:p>
        </w:tc>
        <w:tc>
          <w:tcPr>
            <w:tcW w:w="1918" w:type="dxa"/>
            <w:shd w:val="clear" w:color="auto" w:fill="auto"/>
            <w:vAlign w:val="center"/>
          </w:tcPr>
          <w:p w14:paraId="33ECF4E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毛泽东思想和中国特色社会主义理论体系概论</w:t>
            </w:r>
          </w:p>
        </w:tc>
        <w:tc>
          <w:tcPr>
            <w:tcW w:w="426" w:type="dxa"/>
            <w:shd w:val="clear" w:color="auto" w:fill="auto"/>
            <w:vAlign w:val="center"/>
          </w:tcPr>
          <w:p w14:paraId="19582ED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shd w:val="clear" w:color="auto" w:fill="auto"/>
            <w:vAlign w:val="center"/>
          </w:tcPr>
          <w:p w14:paraId="1F9BC2E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32</w:t>
            </w:r>
          </w:p>
        </w:tc>
        <w:tc>
          <w:tcPr>
            <w:tcW w:w="630" w:type="dxa"/>
            <w:shd w:val="clear" w:color="auto" w:fill="auto"/>
            <w:vAlign w:val="center"/>
          </w:tcPr>
          <w:p w14:paraId="3A0DB01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30</w:t>
            </w:r>
          </w:p>
        </w:tc>
        <w:tc>
          <w:tcPr>
            <w:tcW w:w="615" w:type="dxa"/>
            <w:shd w:val="clear" w:color="auto" w:fill="auto"/>
            <w:vAlign w:val="center"/>
          </w:tcPr>
          <w:p w14:paraId="4ADEEED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w:t>
            </w:r>
          </w:p>
        </w:tc>
        <w:tc>
          <w:tcPr>
            <w:tcW w:w="495" w:type="dxa"/>
            <w:shd w:val="clear" w:color="auto" w:fill="auto"/>
            <w:vAlign w:val="center"/>
          </w:tcPr>
          <w:p w14:paraId="22253A3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25" w:type="dxa"/>
            <w:shd w:val="clear" w:color="auto" w:fill="auto"/>
            <w:vAlign w:val="center"/>
          </w:tcPr>
          <w:p w14:paraId="089D1FC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shd w:val="clear" w:color="auto" w:fill="auto"/>
            <w:vAlign w:val="center"/>
          </w:tcPr>
          <w:p w14:paraId="0A95227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55" w:type="dxa"/>
            <w:shd w:val="clear" w:color="auto" w:fill="auto"/>
            <w:vAlign w:val="center"/>
          </w:tcPr>
          <w:p w14:paraId="1ECA360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shd w:val="clear" w:color="auto" w:fill="auto"/>
            <w:vAlign w:val="center"/>
          </w:tcPr>
          <w:p w14:paraId="57281BD5">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2CA56B4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10362F41">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5808A6A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②</w:t>
            </w:r>
          </w:p>
        </w:tc>
        <w:tc>
          <w:tcPr>
            <w:tcW w:w="345" w:type="dxa"/>
            <w:vAlign w:val="center"/>
          </w:tcPr>
          <w:p w14:paraId="3383718A">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0366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4" w:type="dxa"/>
            <w:vMerge w:val="continue"/>
            <w:vAlign w:val="center"/>
          </w:tcPr>
          <w:p w14:paraId="39BD8DD2">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4CF69428">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136F9405">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952" w:type="dxa"/>
            <w:shd w:val="clear" w:color="auto" w:fill="auto"/>
            <w:vAlign w:val="center"/>
          </w:tcPr>
          <w:p w14:paraId="5DEEE7F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w:t>
            </w:r>
            <w:r>
              <w:rPr>
                <w:rFonts w:hint="eastAsia" w:ascii="宋体" w:hAnsi="宋体" w:cs="宋体"/>
                <w:color w:val="000000" w:themeColor="text1"/>
                <w:kern w:val="0"/>
                <w:sz w:val="18"/>
                <w:szCs w:val="18"/>
                <w:lang w:val="en-US" w:eastAsia="zh-CN"/>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G</w:t>
            </w:r>
          </w:p>
        </w:tc>
        <w:tc>
          <w:tcPr>
            <w:tcW w:w="1918" w:type="dxa"/>
            <w:shd w:val="clear" w:color="auto" w:fill="auto"/>
            <w:vAlign w:val="center"/>
          </w:tcPr>
          <w:p w14:paraId="03CB868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习近平新时代中国特色社会主义思想概论</w:t>
            </w:r>
          </w:p>
        </w:tc>
        <w:tc>
          <w:tcPr>
            <w:tcW w:w="426" w:type="dxa"/>
            <w:shd w:val="clear" w:color="auto" w:fill="auto"/>
            <w:vAlign w:val="center"/>
          </w:tcPr>
          <w:p w14:paraId="7F81C98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shd w:val="clear" w:color="auto" w:fill="auto"/>
            <w:vAlign w:val="center"/>
          </w:tcPr>
          <w:p w14:paraId="23BB1F9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48</w:t>
            </w:r>
          </w:p>
        </w:tc>
        <w:tc>
          <w:tcPr>
            <w:tcW w:w="630" w:type="dxa"/>
            <w:shd w:val="clear" w:color="auto" w:fill="auto"/>
            <w:vAlign w:val="center"/>
          </w:tcPr>
          <w:p w14:paraId="26D731F3">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42</w:t>
            </w:r>
          </w:p>
        </w:tc>
        <w:tc>
          <w:tcPr>
            <w:tcW w:w="615" w:type="dxa"/>
            <w:shd w:val="clear" w:color="auto" w:fill="auto"/>
            <w:vAlign w:val="center"/>
          </w:tcPr>
          <w:p w14:paraId="620B075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6</w:t>
            </w:r>
          </w:p>
        </w:tc>
        <w:tc>
          <w:tcPr>
            <w:tcW w:w="495" w:type="dxa"/>
            <w:shd w:val="clear" w:color="auto" w:fill="auto"/>
            <w:vAlign w:val="center"/>
          </w:tcPr>
          <w:p w14:paraId="6DF6DEBC">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525" w:type="dxa"/>
            <w:shd w:val="clear" w:color="auto" w:fill="auto"/>
            <w:vAlign w:val="center"/>
          </w:tcPr>
          <w:p w14:paraId="5289FE7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shd w:val="clear" w:color="auto" w:fill="auto"/>
            <w:vAlign w:val="center"/>
          </w:tcPr>
          <w:p w14:paraId="78B0625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55" w:type="dxa"/>
            <w:shd w:val="clear" w:color="auto" w:fill="auto"/>
            <w:vAlign w:val="center"/>
          </w:tcPr>
          <w:p w14:paraId="33720E3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48</w:t>
            </w:r>
          </w:p>
        </w:tc>
        <w:tc>
          <w:tcPr>
            <w:tcW w:w="495" w:type="dxa"/>
            <w:shd w:val="clear" w:color="auto" w:fill="auto"/>
            <w:vAlign w:val="center"/>
          </w:tcPr>
          <w:p w14:paraId="4A9A11CA">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489C68F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5759FFFA">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2FFE38AC">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②</w:t>
            </w:r>
          </w:p>
        </w:tc>
        <w:tc>
          <w:tcPr>
            <w:tcW w:w="345" w:type="dxa"/>
            <w:vAlign w:val="center"/>
          </w:tcPr>
          <w:p w14:paraId="2FFCE03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0893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364" w:type="dxa"/>
            <w:vMerge w:val="continue"/>
            <w:vAlign w:val="center"/>
          </w:tcPr>
          <w:p w14:paraId="506B649F">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0A4E8CA4">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2BA6CF33">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952" w:type="dxa"/>
            <w:shd w:val="clear" w:color="auto" w:fill="auto"/>
            <w:vAlign w:val="center"/>
          </w:tcPr>
          <w:p w14:paraId="25A083B5">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000009G</w:t>
            </w:r>
          </w:p>
          <w:p w14:paraId="285FC34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000059G</w:t>
            </w:r>
          </w:p>
          <w:p w14:paraId="39EA844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000029G</w:t>
            </w:r>
          </w:p>
          <w:p w14:paraId="00202CE1">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000039G</w:t>
            </w:r>
          </w:p>
        </w:tc>
        <w:tc>
          <w:tcPr>
            <w:tcW w:w="1918" w:type="dxa"/>
            <w:shd w:val="clear" w:color="auto" w:fill="auto"/>
            <w:vAlign w:val="center"/>
          </w:tcPr>
          <w:p w14:paraId="51843EF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形势与政策</w:t>
            </w:r>
          </w:p>
        </w:tc>
        <w:tc>
          <w:tcPr>
            <w:tcW w:w="426" w:type="dxa"/>
            <w:shd w:val="clear" w:color="auto" w:fill="auto"/>
            <w:vAlign w:val="center"/>
          </w:tcPr>
          <w:p w14:paraId="77F84CF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shd w:val="clear" w:color="auto" w:fill="auto"/>
            <w:vAlign w:val="center"/>
          </w:tcPr>
          <w:p w14:paraId="09BFF65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32</w:t>
            </w:r>
          </w:p>
        </w:tc>
        <w:tc>
          <w:tcPr>
            <w:tcW w:w="630" w:type="dxa"/>
            <w:shd w:val="clear" w:color="auto" w:fill="auto"/>
            <w:vAlign w:val="center"/>
          </w:tcPr>
          <w:p w14:paraId="1458C96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24</w:t>
            </w:r>
          </w:p>
        </w:tc>
        <w:tc>
          <w:tcPr>
            <w:tcW w:w="615" w:type="dxa"/>
            <w:shd w:val="clear" w:color="auto" w:fill="auto"/>
            <w:vAlign w:val="center"/>
          </w:tcPr>
          <w:p w14:paraId="2533A21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8</w:t>
            </w:r>
          </w:p>
        </w:tc>
        <w:tc>
          <w:tcPr>
            <w:tcW w:w="495" w:type="dxa"/>
            <w:shd w:val="clear" w:color="auto" w:fill="auto"/>
            <w:vAlign w:val="center"/>
          </w:tcPr>
          <w:p w14:paraId="22099F1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25" w:type="dxa"/>
            <w:shd w:val="clear" w:color="auto" w:fill="auto"/>
            <w:vAlign w:val="center"/>
          </w:tcPr>
          <w:p w14:paraId="6CB6FB2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510" w:type="dxa"/>
            <w:shd w:val="clear" w:color="auto" w:fill="auto"/>
            <w:vAlign w:val="center"/>
          </w:tcPr>
          <w:p w14:paraId="449D844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555" w:type="dxa"/>
            <w:shd w:val="clear" w:color="auto" w:fill="auto"/>
            <w:vAlign w:val="center"/>
          </w:tcPr>
          <w:p w14:paraId="1075D21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495" w:type="dxa"/>
            <w:shd w:val="clear" w:color="auto" w:fill="auto"/>
            <w:vAlign w:val="center"/>
          </w:tcPr>
          <w:p w14:paraId="2D11AD2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510" w:type="dxa"/>
            <w:vAlign w:val="center"/>
          </w:tcPr>
          <w:p w14:paraId="3352A79C">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74FD428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294FC86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⑤</w:t>
            </w:r>
          </w:p>
        </w:tc>
        <w:tc>
          <w:tcPr>
            <w:tcW w:w="345" w:type="dxa"/>
            <w:vAlign w:val="center"/>
          </w:tcPr>
          <w:p w14:paraId="175F54A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6635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4" w:type="dxa"/>
            <w:vMerge w:val="continue"/>
            <w:vAlign w:val="center"/>
          </w:tcPr>
          <w:p w14:paraId="5BD74448">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35E0D4EC">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562FEBC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952" w:type="dxa"/>
            <w:shd w:val="clear" w:color="auto" w:fill="auto"/>
            <w:vAlign w:val="center"/>
          </w:tcPr>
          <w:p w14:paraId="728AD245">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000005G</w:t>
            </w:r>
          </w:p>
          <w:p w14:paraId="45849C0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000015G</w:t>
            </w:r>
          </w:p>
        </w:tc>
        <w:tc>
          <w:tcPr>
            <w:tcW w:w="1918" w:type="dxa"/>
            <w:shd w:val="clear" w:color="auto" w:fill="auto"/>
            <w:vAlign w:val="center"/>
          </w:tcPr>
          <w:p w14:paraId="6D040AE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大学英语</w:t>
            </w:r>
          </w:p>
        </w:tc>
        <w:tc>
          <w:tcPr>
            <w:tcW w:w="426" w:type="dxa"/>
            <w:shd w:val="clear" w:color="auto" w:fill="auto"/>
            <w:vAlign w:val="center"/>
          </w:tcPr>
          <w:p w14:paraId="78ADD5C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c>
          <w:tcPr>
            <w:tcW w:w="630" w:type="dxa"/>
            <w:shd w:val="clear" w:color="auto" w:fill="auto"/>
            <w:vAlign w:val="center"/>
          </w:tcPr>
          <w:p w14:paraId="0B16E83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128</w:t>
            </w:r>
          </w:p>
        </w:tc>
        <w:tc>
          <w:tcPr>
            <w:tcW w:w="630" w:type="dxa"/>
            <w:shd w:val="clear" w:color="auto" w:fill="auto"/>
            <w:vAlign w:val="center"/>
          </w:tcPr>
          <w:p w14:paraId="1F2B461C">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128</w:t>
            </w:r>
          </w:p>
        </w:tc>
        <w:tc>
          <w:tcPr>
            <w:tcW w:w="615" w:type="dxa"/>
            <w:shd w:val="clear" w:color="auto" w:fill="auto"/>
            <w:vAlign w:val="center"/>
          </w:tcPr>
          <w:p w14:paraId="0F46A8F1">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shd w:val="clear" w:color="auto" w:fill="auto"/>
            <w:vAlign w:val="center"/>
          </w:tcPr>
          <w:p w14:paraId="70D83965">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525" w:type="dxa"/>
            <w:shd w:val="clear" w:color="auto" w:fill="auto"/>
            <w:vAlign w:val="center"/>
          </w:tcPr>
          <w:p w14:paraId="63C9921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10" w:type="dxa"/>
            <w:shd w:val="clear" w:color="auto" w:fill="auto"/>
            <w:vAlign w:val="center"/>
          </w:tcPr>
          <w:p w14:paraId="2724EC7C">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55" w:type="dxa"/>
            <w:shd w:val="clear" w:color="auto" w:fill="auto"/>
            <w:vAlign w:val="center"/>
          </w:tcPr>
          <w:p w14:paraId="6FFFED81">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shd w:val="clear" w:color="auto" w:fill="auto"/>
            <w:vAlign w:val="center"/>
          </w:tcPr>
          <w:p w14:paraId="7BDEB9E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2FA9772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6DD1778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57909B05">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④⑤</w:t>
            </w:r>
          </w:p>
        </w:tc>
        <w:tc>
          <w:tcPr>
            <w:tcW w:w="345" w:type="dxa"/>
            <w:vAlign w:val="center"/>
          </w:tcPr>
          <w:p w14:paraId="0E6BB66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4AE4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566A04D5">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4C6BD685">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0154BC6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952" w:type="dxa"/>
            <w:shd w:val="clear" w:color="auto" w:fill="auto"/>
            <w:vAlign w:val="center"/>
          </w:tcPr>
          <w:p w14:paraId="57B1C87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000004G</w:t>
            </w:r>
          </w:p>
        </w:tc>
        <w:tc>
          <w:tcPr>
            <w:tcW w:w="1918" w:type="dxa"/>
            <w:shd w:val="clear" w:color="auto" w:fill="auto"/>
            <w:vAlign w:val="center"/>
          </w:tcPr>
          <w:p w14:paraId="0CCF7CA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大学语文</w:t>
            </w:r>
          </w:p>
        </w:tc>
        <w:tc>
          <w:tcPr>
            <w:tcW w:w="426" w:type="dxa"/>
            <w:shd w:val="clear" w:color="auto" w:fill="auto"/>
            <w:vAlign w:val="center"/>
          </w:tcPr>
          <w:p w14:paraId="394AD2A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c>
          <w:tcPr>
            <w:tcW w:w="630" w:type="dxa"/>
            <w:shd w:val="clear" w:color="auto" w:fill="auto"/>
            <w:vAlign w:val="center"/>
          </w:tcPr>
          <w:p w14:paraId="392BE97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0" w:type="dxa"/>
            <w:shd w:val="clear" w:color="auto" w:fill="auto"/>
            <w:vAlign w:val="center"/>
          </w:tcPr>
          <w:p w14:paraId="6E4D6865">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15" w:type="dxa"/>
            <w:shd w:val="clear" w:color="auto" w:fill="auto"/>
            <w:vAlign w:val="center"/>
          </w:tcPr>
          <w:p w14:paraId="4B58CC3C">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shd w:val="clear" w:color="auto" w:fill="auto"/>
            <w:vAlign w:val="center"/>
          </w:tcPr>
          <w:p w14:paraId="69F6B96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25" w:type="dxa"/>
            <w:shd w:val="clear" w:color="auto" w:fill="auto"/>
            <w:vAlign w:val="center"/>
          </w:tcPr>
          <w:p w14:paraId="36DCD49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10" w:type="dxa"/>
            <w:shd w:val="clear" w:color="auto" w:fill="auto"/>
            <w:vAlign w:val="center"/>
          </w:tcPr>
          <w:p w14:paraId="64C010C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55" w:type="dxa"/>
            <w:shd w:val="clear" w:color="auto" w:fill="auto"/>
            <w:vAlign w:val="center"/>
          </w:tcPr>
          <w:p w14:paraId="1CC8D21A">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shd w:val="clear" w:color="auto" w:fill="auto"/>
            <w:vAlign w:val="center"/>
          </w:tcPr>
          <w:p w14:paraId="57529ED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56C747E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14F2271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722BDD7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color w:val="000000"/>
                <w:kern w:val="0"/>
                <w:sz w:val="18"/>
                <w:szCs w:val="18"/>
              </w:rPr>
              <w:t>⑤</w:t>
            </w:r>
          </w:p>
        </w:tc>
        <w:tc>
          <w:tcPr>
            <w:tcW w:w="345" w:type="dxa"/>
            <w:vAlign w:val="center"/>
          </w:tcPr>
          <w:p w14:paraId="0DBBA2E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7F22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64" w:type="dxa"/>
            <w:vMerge w:val="continue"/>
            <w:vAlign w:val="center"/>
          </w:tcPr>
          <w:p w14:paraId="4699168B">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1ABA471B">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2836995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w:t>
            </w:r>
          </w:p>
        </w:tc>
        <w:tc>
          <w:tcPr>
            <w:tcW w:w="952" w:type="dxa"/>
            <w:shd w:val="clear" w:color="auto" w:fill="auto"/>
            <w:vAlign w:val="center"/>
          </w:tcPr>
          <w:p w14:paraId="02A0B42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bookmarkStart w:id="27" w:name="OLE_LINK1"/>
            <w:r>
              <w:rPr>
                <w:rFonts w:ascii="宋体" w:hAnsi="宋体" w:cs="宋体"/>
                <w:color w:val="000000" w:themeColor="text1"/>
                <w:kern w:val="0"/>
                <w:sz w:val="18"/>
                <w:szCs w:val="18"/>
                <w14:textFill>
                  <w14:solidFill>
                    <w14:schemeClr w14:val="tx1"/>
                  </w14:solidFill>
                </w14:textFill>
              </w:rPr>
              <w:t>000007G</w:t>
            </w:r>
            <w:bookmarkEnd w:id="27"/>
            <w:r>
              <w:rPr>
                <w:rFonts w:ascii="宋体" w:hAnsi="宋体" w:cs="宋体"/>
                <w:color w:val="000000" w:themeColor="text1"/>
                <w:kern w:val="0"/>
                <w:sz w:val="18"/>
                <w:szCs w:val="18"/>
                <w14:textFill>
                  <w14:solidFill>
                    <w14:schemeClr w14:val="tx1"/>
                  </w14:solidFill>
                </w14:textFill>
              </w:rPr>
              <w:t>0000</w:t>
            </w:r>
            <w:r>
              <w:rPr>
                <w:rFonts w:hint="eastAsia" w:ascii="宋体" w:hAnsi="宋体" w:cs="宋体"/>
                <w:color w:val="000000" w:themeColor="text1"/>
                <w:kern w:val="0"/>
                <w:sz w:val="18"/>
                <w:szCs w:val="18"/>
                <w14:textFill>
                  <w14:solidFill>
                    <w14:schemeClr w14:val="tx1"/>
                  </w14:solidFill>
                </w14:textFill>
              </w:rPr>
              <w:t>1</w:t>
            </w:r>
            <w:r>
              <w:rPr>
                <w:rFonts w:ascii="宋体" w:hAnsi="宋体" w:cs="宋体"/>
                <w:color w:val="000000" w:themeColor="text1"/>
                <w:kern w:val="0"/>
                <w:sz w:val="18"/>
                <w:szCs w:val="18"/>
                <w14:textFill>
                  <w14:solidFill>
                    <w14:schemeClr w14:val="tx1"/>
                  </w14:solidFill>
                </w14:textFill>
              </w:rPr>
              <w:t>7G0000</w:t>
            </w:r>
            <w:r>
              <w:rPr>
                <w:rFonts w:hint="eastAsia" w:ascii="宋体" w:hAnsi="宋体" w:cs="宋体"/>
                <w:color w:val="000000" w:themeColor="text1"/>
                <w:kern w:val="0"/>
                <w:sz w:val="18"/>
                <w:szCs w:val="18"/>
                <w14:textFill>
                  <w14:solidFill>
                    <w14:schemeClr w14:val="tx1"/>
                  </w14:solidFill>
                </w14:textFill>
              </w:rPr>
              <w:t>2</w:t>
            </w:r>
            <w:r>
              <w:rPr>
                <w:rFonts w:ascii="宋体" w:hAnsi="宋体" w:cs="宋体"/>
                <w:color w:val="000000" w:themeColor="text1"/>
                <w:kern w:val="0"/>
                <w:sz w:val="18"/>
                <w:szCs w:val="18"/>
                <w14:textFill>
                  <w14:solidFill>
                    <w14:schemeClr w14:val="tx1"/>
                  </w14:solidFill>
                </w14:textFill>
              </w:rPr>
              <w:t>7G</w:t>
            </w:r>
          </w:p>
        </w:tc>
        <w:tc>
          <w:tcPr>
            <w:tcW w:w="1918" w:type="dxa"/>
            <w:shd w:val="clear" w:color="auto" w:fill="auto"/>
            <w:vAlign w:val="center"/>
          </w:tcPr>
          <w:p w14:paraId="2F933813">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大学体育</w:t>
            </w:r>
          </w:p>
        </w:tc>
        <w:tc>
          <w:tcPr>
            <w:tcW w:w="426" w:type="dxa"/>
            <w:shd w:val="clear" w:color="auto" w:fill="auto"/>
            <w:vAlign w:val="center"/>
          </w:tcPr>
          <w:p w14:paraId="4C7E8E6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C</w:t>
            </w:r>
          </w:p>
        </w:tc>
        <w:tc>
          <w:tcPr>
            <w:tcW w:w="630" w:type="dxa"/>
            <w:shd w:val="clear" w:color="auto" w:fill="auto"/>
            <w:vAlign w:val="center"/>
          </w:tcPr>
          <w:p w14:paraId="6E44303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108</w:t>
            </w:r>
          </w:p>
        </w:tc>
        <w:tc>
          <w:tcPr>
            <w:tcW w:w="630" w:type="dxa"/>
            <w:shd w:val="clear" w:color="auto" w:fill="auto"/>
            <w:vAlign w:val="center"/>
          </w:tcPr>
          <w:p w14:paraId="49F480F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615" w:type="dxa"/>
            <w:shd w:val="clear" w:color="auto" w:fill="auto"/>
            <w:vAlign w:val="center"/>
          </w:tcPr>
          <w:p w14:paraId="16AED27C">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102</w:t>
            </w:r>
          </w:p>
        </w:tc>
        <w:tc>
          <w:tcPr>
            <w:tcW w:w="495" w:type="dxa"/>
            <w:shd w:val="clear" w:color="auto" w:fill="auto"/>
            <w:vAlign w:val="center"/>
          </w:tcPr>
          <w:p w14:paraId="1F4510BC">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525" w:type="dxa"/>
            <w:shd w:val="clear" w:color="auto" w:fill="auto"/>
            <w:vAlign w:val="center"/>
          </w:tcPr>
          <w:p w14:paraId="4A660FE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10" w:type="dxa"/>
            <w:shd w:val="clear" w:color="auto" w:fill="auto"/>
            <w:vAlign w:val="center"/>
          </w:tcPr>
          <w:p w14:paraId="46E6B3F3">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55" w:type="dxa"/>
            <w:shd w:val="clear" w:color="auto" w:fill="auto"/>
            <w:vAlign w:val="center"/>
          </w:tcPr>
          <w:p w14:paraId="50E8ED5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495" w:type="dxa"/>
            <w:shd w:val="clear" w:color="auto" w:fill="auto"/>
            <w:vAlign w:val="center"/>
          </w:tcPr>
          <w:p w14:paraId="4164F24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3949D13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37671E0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67A4005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③</w:t>
            </w:r>
          </w:p>
        </w:tc>
        <w:tc>
          <w:tcPr>
            <w:tcW w:w="345" w:type="dxa"/>
            <w:vAlign w:val="center"/>
          </w:tcPr>
          <w:p w14:paraId="73A33F23">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29B7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364" w:type="dxa"/>
            <w:vMerge w:val="continue"/>
            <w:vAlign w:val="center"/>
          </w:tcPr>
          <w:p w14:paraId="410315C0">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2ACE4932">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52C690F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952" w:type="dxa"/>
            <w:shd w:val="clear" w:color="auto" w:fill="auto"/>
            <w:vAlign w:val="center"/>
          </w:tcPr>
          <w:p w14:paraId="36ADDDC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000013G</w:t>
            </w:r>
          </w:p>
        </w:tc>
        <w:tc>
          <w:tcPr>
            <w:tcW w:w="1918" w:type="dxa"/>
            <w:shd w:val="clear" w:color="auto" w:fill="auto"/>
            <w:vAlign w:val="center"/>
          </w:tcPr>
          <w:p w14:paraId="195CD9C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大学生心理健康教育</w:t>
            </w:r>
          </w:p>
        </w:tc>
        <w:tc>
          <w:tcPr>
            <w:tcW w:w="426" w:type="dxa"/>
            <w:shd w:val="clear" w:color="auto" w:fill="auto"/>
            <w:vAlign w:val="center"/>
          </w:tcPr>
          <w:p w14:paraId="2C118521">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c>
          <w:tcPr>
            <w:tcW w:w="630" w:type="dxa"/>
            <w:shd w:val="clear" w:color="auto" w:fill="auto"/>
            <w:vAlign w:val="center"/>
          </w:tcPr>
          <w:p w14:paraId="6FFE508C">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0" w:type="dxa"/>
            <w:shd w:val="clear" w:color="auto" w:fill="auto"/>
            <w:vAlign w:val="center"/>
          </w:tcPr>
          <w:p w14:paraId="7BB6F49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15" w:type="dxa"/>
            <w:shd w:val="clear" w:color="auto" w:fill="auto"/>
            <w:vAlign w:val="center"/>
          </w:tcPr>
          <w:p w14:paraId="48745F9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shd w:val="clear" w:color="auto" w:fill="auto"/>
            <w:vAlign w:val="center"/>
          </w:tcPr>
          <w:p w14:paraId="3AC1C63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25" w:type="dxa"/>
            <w:shd w:val="clear" w:color="auto" w:fill="auto"/>
            <w:vAlign w:val="center"/>
          </w:tcPr>
          <w:p w14:paraId="5205CA7A">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shd w:val="clear" w:color="auto" w:fill="auto"/>
            <w:vAlign w:val="center"/>
          </w:tcPr>
          <w:p w14:paraId="41706B3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55" w:type="dxa"/>
            <w:shd w:val="clear" w:color="auto" w:fill="auto"/>
            <w:vAlign w:val="center"/>
          </w:tcPr>
          <w:p w14:paraId="4FDF000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shd w:val="clear" w:color="auto" w:fill="auto"/>
            <w:vAlign w:val="center"/>
          </w:tcPr>
          <w:p w14:paraId="570530E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3A6B309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306810F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shd w:val="clear" w:color="auto" w:fill="auto"/>
            <w:vAlign w:val="center"/>
          </w:tcPr>
          <w:p w14:paraId="2534C9A6">
            <w:pPr>
              <w:pageBreakBefore w:val="0"/>
              <w:widowControl/>
              <w:kinsoku/>
              <w:wordWrap/>
              <w:overflowPunct/>
              <w:topLinePunct w:val="0"/>
              <w:bidi w:val="0"/>
              <w:snapToGrid/>
              <w:spacing w:line="360" w:lineRule="exact"/>
              <w:jc w:val="center"/>
              <w:textAlignment w:val="auto"/>
              <w:rPr>
                <w:color w:val="000000"/>
                <w:kern w:val="0"/>
                <w:sz w:val="18"/>
                <w:szCs w:val="18"/>
              </w:rPr>
            </w:pPr>
            <w:r>
              <w:rPr>
                <w:rFonts w:hint="eastAsia" w:ascii="宋体" w:hAnsi="宋体"/>
                <w:color w:val="000000"/>
                <w:sz w:val="18"/>
                <w:szCs w:val="18"/>
              </w:rPr>
              <w:t>⑤</w:t>
            </w:r>
          </w:p>
        </w:tc>
        <w:tc>
          <w:tcPr>
            <w:tcW w:w="345" w:type="dxa"/>
            <w:vAlign w:val="center"/>
          </w:tcPr>
          <w:p w14:paraId="6B1B729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706C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5BB86AAC">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1CF6D217">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24B1ACAC">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w:t>
            </w:r>
          </w:p>
        </w:tc>
        <w:tc>
          <w:tcPr>
            <w:tcW w:w="952" w:type="dxa"/>
            <w:shd w:val="clear" w:color="auto" w:fill="auto"/>
            <w:vAlign w:val="center"/>
          </w:tcPr>
          <w:p w14:paraId="3795F1B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000003G</w:t>
            </w:r>
          </w:p>
        </w:tc>
        <w:tc>
          <w:tcPr>
            <w:tcW w:w="1918" w:type="dxa"/>
            <w:shd w:val="clear" w:color="auto" w:fill="auto"/>
            <w:vAlign w:val="center"/>
          </w:tcPr>
          <w:p w14:paraId="1876E29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职业发展与就业指导</w:t>
            </w:r>
          </w:p>
        </w:tc>
        <w:tc>
          <w:tcPr>
            <w:tcW w:w="426" w:type="dxa"/>
            <w:shd w:val="clear" w:color="auto" w:fill="auto"/>
            <w:vAlign w:val="center"/>
          </w:tcPr>
          <w:p w14:paraId="2999155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shd w:val="clear" w:color="auto" w:fill="auto"/>
            <w:vAlign w:val="center"/>
          </w:tcPr>
          <w:p w14:paraId="7409879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22</w:t>
            </w:r>
          </w:p>
        </w:tc>
        <w:tc>
          <w:tcPr>
            <w:tcW w:w="630" w:type="dxa"/>
            <w:shd w:val="clear" w:color="auto" w:fill="auto"/>
            <w:vAlign w:val="center"/>
          </w:tcPr>
          <w:p w14:paraId="4352560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15" w:type="dxa"/>
            <w:shd w:val="clear" w:color="auto" w:fill="auto"/>
            <w:vAlign w:val="center"/>
          </w:tcPr>
          <w:p w14:paraId="3C3ED90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495" w:type="dxa"/>
            <w:shd w:val="clear" w:color="auto" w:fill="auto"/>
            <w:vAlign w:val="center"/>
          </w:tcPr>
          <w:p w14:paraId="47A90F4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25" w:type="dxa"/>
            <w:shd w:val="clear" w:color="auto" w:fill="auto"/>
            <w:vAlign w:val="center"/>
          </w:tcPr>
          <w:p w14:paraId="57561E2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22</w:t>
            </w:r>
          </w:p>
        </w:tc>
        <w:tc>
          <w:tcPr>
            <w:tcW w:w="510" w:type="dxa"/>
            <w:shd w:val="clear" w:color="auto" w:fill="auto"/>
            <w:vAlign w:val="center"/>
          </w:tcPr>
          <w:p w14:paraId="58D20A8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55" w:type="dxa"/>
            <w:shd w:val="clear" w:color="auto" w:fill="auto"/>
            <w:vAlign w:val="center"/>
          </w:tcPr>
          <w:p w14:paraId="78AF6C8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shd w:val="clear" w:color="auto" w:fill="auto"/>
            <w:vAlign w:val="center"/>
          </w:tcPr>
          <w:p w14:paraId="51DACA0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788A48F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597CCD1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66CD056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⑩</w:t>
            </w:r>
          </w:p>
        </w:tc>
        <w:tc>
          <w:tcPr>
            <w:tcW w:w="345" w:type="dxa"/>
            <w:vAlign w:val="center"/>
          </w:tcPr>
          <w:p w14:paraId="664F5681">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48DD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28F68D35">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0AF87681">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1747833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w:t>
            </w:r>
          </w:p>
        </w:tc>
        <w:tc>
          <w:tcPr>
            <w:tcW w:w="952" w:type="dxa"/>
            <w:shd w:val="clear" w:color="auto" w:fill="auto"/>
            <w:vAlign w:val="center"/>
          </w:tcPr>
          <w:p w14:paraId="35FB928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000043G</w:t>
            </w:r>
          </w:p>
        </w:tc>
        <w:tc>
          <w:tcPr>
            <w:tcW w:w="1918" w:type="dxa"/>
            <w:shd w:val="clear" w:color="auto" w:fill="auto"/>
            <w:vAlign w:val="center"/>
          </w:tcPr>
          <w:p w14:paraId="6FFBBBA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创新创业教育</w:t>
            </w:r>
          </w:p>
        </w:tc>
        <w:tc>
          <w:tcPr>
            <w:tcW w:w="426" w:type="dxa"/>
            <w:shd w:val="clear" w:color="auto" w:fill="auto"/>
            <w:vAlign w:val="center"/>
          </w:tcPr>
          <w:p w14:paraId="144EA80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c>
          <w:tcPr>
            <w:tcW w:w="630" w:type="dxa"/>
            <w:shd w:val="clear" w:color="auto" w:fill="auto"/>
            <w:vAlign w:val="center"/>
          </w:tcPr>
          <w:p w14:paraId="4653CCC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30" w:type="dxa"/>
            <w:shd w:val="clear" w:color="auto" w:fill="auto"/>
            <w:vAlign w:val="center"/>
          </w:tcPr>
          <w:p w14:paraId="73AE3D9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15" w:type="dxa"/>
            <w:shd w:val="clear" w:color="auto" w:fill="auto"/>
            <w:vAlign w:val="center"/>
          </w:tcPr>
          <w:p w14:paraId="10B55AC1">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shd w:val="clear" w:color="auto" w:fill="auto"/>
            <w:vAlign w:val="center"/>
          </w:tcPr>
          <w:p w14:paraId="4B56AD0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25" w:type="dxa"/>
            <w:shd w:val="clear" w:color="auto" w:fill="auto"/>
            <w:vAlign w:val="center"/>
          </w:tcPr>
          <w:p w14:paraId="40497C0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shd w:val="clear" w:color="auto" w:fill="auto"/>
            <w:vAlign w:val="center"/>
          </w:tcPr>
          <w:p w14:paraId="45B11CB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55" w:type="dxa"/>
            <w:shd w:val="clear" w:color="auto" w:fill="auto"/>
            <w:vAlign w:val="center"/>
          </w:tcPr>
          <w:p w14:paraId="7CC655D3">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495" w:type="dxa"/>
            <w:shd w:val="clear" w:color="auto" w:fill="auto"/>
            <w:vAlign w:val="center"/>
          </w:tcPr>
          <w:p w14:paraId="6B3CFF6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3CC847A5">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6FAFD0C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6F6DCFFA">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⑩</w:t>
            </w:r>
          </w:p>
        </w:tc>
        <w:tc>
          <w:tcPr>
            <w:tcW w:w="345" w:type="dxa"/>
            <w:vAlign w:val="center"/>
          </w:tcPr>
          <w:p w14:paraId="630CE6D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4F9A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340CB846">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4CD919A8">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75C65173">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13</w:t>
            </w:r>
          </w:p>
        </w:tc>
        <w:tc>
          <w:tcPr>
            <w:tcW w:w="952" w:type="dxa"/>
            <w:shd w:val="clear" w:color="auto" w:fill="auto"/>
            <w:vAlign w:val="center"/>
          </w:tcPr>
          <w:p w14:paraId="4F8644E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000002G</w:t>
            </w:r>
          </w:p>
        </w:tc>
        <w:tc>
          <w:tcPr>
            <w:tcW w:w="1918" w:type="dxa"/>
            <w:shd w:val="clear" w:color="auto" w:fill="auto"/>
            <w:vAlign w:val="center"/>
          </w:tcPr>
          <w:p w14:paraId="01325323">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信息技术</w:t>
            </w:r>
          </w:p>
        </w:tc>
        <w:tc>
          <w:tcPr>
            <w:tcW w:w="426" w:type="dxa"/>
            <w:shd w:val="clear" w:color="auto" w:fill="auto"/>
            <w:vAlign w:val="center"/>
          </w:tcPr>
          <w:p w14:paraId="1104C1B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shd w:val="clear" w:color="auto" w:fill="auto"/>
            <w:vAlign w:val="center"/>
          </w:tcPr>
          <w:p w14:paraId="54BB875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630" w:type="dxa"/>
            <w:shd w:val="clear" w:color="auto" w:fill="auto"/>
            <w:vAlign w:val="center"/>
          </w:tcPr>
          <w:p w14:paraId="7A274F1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15" w:type="dxa"/>
            <w:shd w:val="clear" w:color="auto" w:fill="auto"/>
            <w:vAlign w:val="center"/>
          </w:tcPr>
          <w:p w14:paraId="1A0752B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495" w:type="dxa"/>
            <w:shd w:val="clear" w:color="auto" w:fill="auto"/>
            <w:vAlign w:val="center"/>
          </w:tcPr>
          <w:p w14:paraId="1200AED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525" w:type="dxa"/>
            <w:shd w:val="clear" w:color="auto" w:fill="auto"/>
            <w:vAlign w:val="center"/>
          </w:tcPr>
          <w:p w14:paraId="65E058E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shd w:val="clear" w:color="auto" w:fill="auto"/>
            <w:vAlign w:val="center"/>
          </w:tcPr>
          <w:p w14:paraId="66A01BE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55" w:type="dxa"/>
            <w:shd w:val="clear" w:color="auto" w:fill="auto"/>
            <w:vAlign w:val="center"/>
          </w:tcPr>
          <w:p w14:paraId="5663E56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shd w:val="clear" w:color="auto" w:fill="auto"/>
            <w:vAlign w:val="center"/>
          </w:tcPr>
          <w:p w14:paraId="50CBA9F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1FE366FC">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3C9FE7DA">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0856435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⑩</w:t>
            </w:r>
          </w:p>
        </w:tc>
        <w:tc>
          <w:tcPr>
            <w:tcW w:w="345" w:type="dxa"/>
            <w:vAlign w:val="center"/>
          </w:tcPr>
          <w:p w14:paraId="6B9E845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2370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14BE5F44">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025F88CC">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shd w:val="clear" w:color="auto" w:fill="auto"/>
            <w:vAlign w:val="center"/>
          </w:tcPr>
          <w:p w14:paraId="4CE5A04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w:t>
            </w:r>
          </w:p>
        </w:tc>
        <w:tc>
          <w:tcPr>
            <w:tcW w:w="952" w:type="dxa"/>
            <w:vAlign w:val="center"/>
          </w:tcPr>
          <w:p w14:paraId="4525EC53">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010126Z</w:t>
            </w:r>
          </w:p>
        </w:tc>
        <w:tc>
          <w:tcPr>
            <w:tcW w:w="1918" w:type="dxa"/>
            <w:shd w:val="clear" w:color="auto" w:fill="auto"/>
            <w:vAlign w:val="center"/>
          </w:tcPr>
          <w:p w14:paraId="1F58E17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人工智能与应用</w:t>
            </w:r>
          </w:p>
        </w:tc>
        <w:tc>
          <w:tcPr>
            <w:tcW w:w="426" w:type="dxa"/>
            <w:shd w:val="clear" w:color="auto" w:fill="auto"/>
            <w:vAlign w:val="center"/>
          </w:tcPr>
          <w:p w14:paraId="5AEFB0F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shd w:val="clear" w:color="auto" w:fill="auto"/>
            <w:vAlign w:val="center"/>
          </w:tcPr>
          <w:p w14:paraId="7BB6C41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0" w:type="dxa"/>
            <w:shd w:val="clear" w:color="auto" w:fill="auto"/>
            <w:vAlign w:val="center"/>
          </w:tcPr>
          <w:p w14:paraId="737D2C5A">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15" w:type="dxa"/>
            <w:shd w:val="clear" w:color="auto" w:fill="auto"/>
            <w:vAlign w:val="center"/>
          </w:tcPr>
          <w:p w14:paraId="4C4F9D85">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495" w:type="dxa"/>
            <w:shd w:val="clear" w:color="auto" w:fill="auto"/>
            <w:vAlign w:val="center"/>
          </w:tcPr>
          <w:p w14:paraId="126FC1F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25" w:type="dxa"/>
            <w:shd w:val="clear" w:color="auto" w:fill="auto"/>
            <w:vAlign w:val="center"/>
          </w:tcPr>
          <w:p w14:paraId="197172E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shd w:val="clear" w:color="auto" w:fill="auto"/>
            <w:vAlign w:val="center"/>
          </w:tcPr>
          <w:p w14:paraId="771CD66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55" w:type="dxa"/>
            <w:vAlign w:val="center"/>
          </w:tcPr>
          <w:p w14:paraId="7FE8AB8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vAlign w:val="center"/>
          </w:tcPr>
          <w:p w14:paraId="701CC1B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54930EC1">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7C69406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314A24C1">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⑩</w:t>
            </w:r>
          </w:p>
        </w:tc>
        <w:tc>
          <w:tcPr>
            <w:tcW w:w="345" w:type="dxa"/>
            <w:vAlign w:val="center"/>
          </w:tcPr>
          <w:p w14:paraId="05C25F8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3983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4" w:type="dxa"/>
            <w:vMerge w:val="continue"/>
            <w:vAlign w:val="center"/>
          </w:tcPr>
          <w:p w14:paraId="20528F19">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0BFF569D">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shd w:val="clear" w:color="auto" w:fill="auto"/>
            <w:vAlign w:val="center"/>
          </w:tcPr>
          <w:p w14:paraId="5299C75A">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15</w:t>
            </w:r>
          </w:p>
        </w:tc>
        <w:tc>
          <w:tcPr>
            <w:tcW w:w="952" w:type="dxa"/>
            <w:vAlign w:val="center"/>
          </w:tcPr>
          <w:p w14:paraId="5F869CEA">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000023G</w:t>
            </w:r>
          </w:p>
        </w:tc>
        <w:tc>
          <w:tcPr>
            <w:tcW w:w="1918" w:type="dxa"/>
            <w:vAlign w:val="center"/>
          </w:tcPr>
          <w:p w14:paraId="25D23D7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劳动教育与实践</w:t>
            </w:r>
          </w:p>
        </w:tc>
        <w:tc>
          <w:tcPr>
            <w:tcW w:w="426" w:type="dxa"/>
            <w:vAlign w:val="center"/>
          </w:tcPr>
          <w:p w14:paraId="3456583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vAlign w:val="center"/>
          </w:tcPr>
          <w:p w14:paraId="41C5CF1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0" w:type="dxa"/>
            <w:vAlign w:val="center"/>
          </w:tcPr>
          <w:p w14:paraId="5D91D76A">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15" w:type="dxa"/>
            <w:vAlign w:val="center"/>
          </w:tcPr>
          <w:p w14:paraId="78C6E52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495" w:type="dxa"/>
            <w:vAlign w:val="center"/>
          </w:tcPr>
          <w:p w14:paraId="29BA525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25" w:type="dxa"/>
            <w:vAlign w:val="center"/>
          </w:tcPr>
          <w:p w14:paraId="0F4AC49C">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10" w:type="dxa"/>
            <w:vAlign w:val="center"/>
          </w:tcPr>
          <w:p w14:paraId="1F9D14B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55" w:type="dxa"/>
            <w:vAlign w:val="center"/>
          </w:tcPr>
          <w:p w14:paraId="3D867F9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vAlign w:val="center"/>
          </w:tcPr>
          <w:p w14:paraId="77A1627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6C31210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6AE951C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2CA6FEE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⑥⑧</w:t>
            </w:r>
          </w:p>
        </w:tc>
        <w:tc>
          <w:tcPr>
            <w:tcW w:w="345" w:type="dxa"/>
            <w:vAlign w:val="center"/>
          </w:tcPr>
          <w:p w14:paraId="14C13D8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09C6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25016414">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6BED02F9">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561FF76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952" w:type="dxa"/>
            <w:vAlign w:val="center"/>
          </w:tcPr>
          <w:p w14:paraId="77D2E12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000033G</w:t>
            </w:r>
          </w:p>
        </w:tc>
        <w:tc>
          <w:tcPr>
            <w:tcW w:w="1918" w:type="dxa"/>
            <w:vAlign w:val="center"/>
          </w:tcPr>
          <w:p w14:paraId="15D97C8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国家安全教育</w:t>
            </w:r>
          </w:p>
        </w:tc>
        <w:tc>
          <w:tcPr>
            <w:tcW w:w="426" w:type="dxa"/>
            <w:vAlign w:val="center"/>
          </w:tcPr>
          <w:p w14:paraId="1116343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c>
          <w:tcPr>
            <w:tcW w:w="630" w:type="dxa"/>
            <w:vAlign w:val="center"/>
          </w:tcPr>
          <w:p w14:paraId="36B755A3">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30" w:type="dxa"/>
            <w:vAlign w:val="center"/>
          </w:tcPr>
          <w:p w14:paraId="2CEEE37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15" w:type="dxa"/>
            <w:vAlign w:val="center"/>
          </w:tcPr>
          <w:p w14:paraId="1364C27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vAlign w:val="center"/>
          </w:tcPr>
          <w:p w14:paraId="5ACB8B9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525" w:type="dxa"/>
            <w:vAlign w:val="center"/>
          </w:tcPr>
          <w:p w14:paraId="62E4282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10" w:type="dxa"/>
            <w:vAlign w:val="center"/>
          </w:tcPr>
          <w:p w14:paraId="653E7C4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55" w:type="dxa"/>
            <w:vAlign w:val="center"/>
          </w:tcPr>
          <w:p w14:paraId="134B282A">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vAlign w:val="center"/>
          </w:tcPr>
          <w:p w14:paraId="6B02692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45FB1CF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0FF0F8E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24F70E1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②</w:t>
            </w:r>
          </w:p>
        </w:tc>
        <w:tc>
          <w:tcPr>
            <w:tcW w:w="345" w:type="dxa"/>
            <w:vAlign w:val="center"/>
          </w:tcPr>
          <w:p w14:paraId="0522532A">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551D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364" w:type="dxa"/>
            <w:vMerge w:val="continue"/>
            <w:vAlign w:val="center"/>
          </w:tcPr>
          <w:p w14:paraId="16A333F3">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13F923C9">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1377" w:type="dxa"/>
            <w:gridSpan w:val="2"/>
            <w:vAlign w:val="center"/>
          </w:tcPr>
          <w:p w14:paraId="7F4B9562">
            <w:pPr>
              <w:pageBreakBefore w:val="0"/>
              <w:widowControl/>
              <w:kinsoku/>
              <w:wordWrap/>
              <w:overflowPunct/>
              <w:topLinePunct w:val="0"/>
              <w:bidi w:val="0"/>
              <w:snapToGrid/>
              <w:spacing w:line="360" w:lineRule="exact"/>
              <w:jc w:val="center"/>
              <w:textAlignment w:val="auto"/>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小计</w:t>
            </w:r>
          </w:p>
        </w:tc>
        <w:tc>
          <w:tcPr>
            <w:tcW w:w="1918" w:type="dxa"/>
            <w:vAlign w:val="center"/>
          </w:tcPr>
          <w:p w14:paraId="16EE6BE3">
            <w:pPr>
              <w:pageBreakBefore w:val="0"/>
              <w:widowControl/>
              <w:kinsoku/>
              <w:wordWrap/>
              <w:overflowPunct/>
              <w:topLinePunct w:val="0"/>
              <w:bidi w:val="0"/>
              <w:snapToGrid/>
              <w:spacing w:line="360" w:lineRule="exact"/>
              <w:jc w:val="center"/>
              <w:textAlignment w:val="auto"/>
              <w:rPr>
                <w:rFonts w:hint="default"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共16门</w:t>
            </w:r>
          </w:p>
        </w:tc>
        <w:tc>
          <w:tcPr>
            <w:tcW w:w="426" w:type="dxa"/>
            <w:vAlign w:val="center"/>
          </w:tcPr>
          <w:p w14:paraId="46357689">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630" w:type="dxa"/>
            <w:vAlign w:val="center"/>
          </w:tcPr>
          <w:p w14:paraId="44B8D69B">
            <w:pPr>
              <w:pageBreakBefore w:val="0"/>
              <w:kinsoku/>
              <w:wordWrap/>
              <w:overflowPunct/>
              <w:topLinePunct w:val="0"/>
              <w:bidi w:val="0"/>
              <w:snapToGrid/>
              <w:spacing w:line="360" w:lineRule="exact"/>
              <w:jc w:val="center"/>
              <w:textAlignment w:val="auto"/>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768</w:t>
            </w:r>
          </w:p>
        </w:tc>
        <w:tc>
          <w:tcPr>
            <w:tcW w:w="630" w:type="dxa"/>
            <w:vAlign w:val="center"/>
          </w:tcPr>
          <w:p w14:paraId="4A4E1C41">
            <w:pPr>
              <w:pageBreakBefore w:val="0"/>
              <w:kinsoku/>
              <w:wordWrap/>
              <w:overflowPunct/>
              <w:topLinePunct w:val="0"/>
              <w:bidi w:val="0"/>
              <w:snapToGrid/>
              <w:spacing w:line="360" w:lineRule="exact"/>
              <w:jc w:val="center"/>
              <w:textAlignment w:val="auto"/>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466</w:t>
            </w:r>
          </w:p>
        </w:tc>
        <w:tc>
          <w:tcPr>
            <w:tcW w:w="615" w:type="dxa"/>
            <w:vAlign w:val="center"/>
          </w:tcPr>
          <w:p w14:paraId="5B0C0065">
            <w:pPr>
              <w:pageBreakBefore w:val="0"/>
              <w:kinsoku/>
              <w:wordWrap/>
              <w:overflowPunct/>
              <w:topLinePunct w:val="0"/>
              <w:bidi w:val="0"/>
              <w:snapToGrid/>
              <w:spacing w:line="360" w:lineRule="exact"/>
              <w:jc w:val="center"/>
              <w:textAlignment w:val="auto"/>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302</w:t>
            </w:r>
          </w:p>
        </w:tc>
        <w:tc>
          <w:tcPr>
            <w:tcW w:w="495" w:type="dxa"/>
            <w:vAlign w:val="center"/>
          </w:tcPr>
          <w:p w14:paraId="3FCCDB37">
            <w:pPr>
              <w:pageBreakBefore w:val="0"/>
              <w:kinsoku/>
              <w:wordWrap/>
              <w:overflowPunct/>
              <w:topLinePunct w:val="0"/>
              <w:bidi w:val="0"/>
              <w:snapToGrid/>
              <w:spacing w:line="360" w:lineRule="exact"/>
              <w:jc w:val="center"/>
              <w:textAlignment w:val="auto"/>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44</w:t>
            </w:r>
          </w:p>
        </w:tc>
        <w:tc>
          <w:tcPr>
            <w:tcW w:w="525" w:type="dxa"/>
            <w:vAlign w:val="center"/>
          </w:tcPr>
          <w:p w14:paraId="2405AE6F">
            <w:pPr>
              <w:pageBreakBefore w:val="0"/>
              <w:kinsoku/>
              <w:wordWrap/>
              <w:overflowPunct/>
              <w:topLinePunct w:val="0"/>
              <w:bidi w:val="0"/>
              <w:snapToGrid/>
              <w:spacing w:line="360" w:lineRule="exact"/>
              <w:jc w:val="center"/>
              <w:textAlignment w:val="auto"/>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368</w:t>
            </w:r>
          </w:p>
        </w:tc>
        <w:tc>
          <w:tcPr>
            <w:tcW w:w="510" w:type="dxa"/>
            <w:vAlign w:val="center"/>
          </w:tcPr>
          <w:p w14:paraId="44E6CA64">
            <w:pPr>
              <w:pageBreakBefore w:val="0"/>
              <w:kinsoku/>
              <w:wordWrap/>
              <w:overflowPunct/>
              <w:topLinePunct w:val="0"/>
              <w:bidi w:val="0"/>
              <w:snapToGrid/>
              <w:spacing w:line="360" w:lineRule="exact"/>
              <w:jc w:val="center"/>
              <w:textAlignment w:val="auto"/>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284</w:t>
            </w:r>
          </w:p>
        </w:tc>
        <w:tc>
          <w:tcPr>
            <w:tcW w:w="555" w:type="dxa"/>
            <w:vAlign w:val="center"/>
          </w:tcPr>
          <w:p w14:paraId="3D9158EE">
            <w:pPr>
              <w:pageBreakBefore w:val="0"/>
              <w:kinsoku/>
              <w:wordWrap/>
              <w:overflowPunct/>
              <w:topLinePunct w:val="0"/>
              <w:bidi w:val="0"/>
              <w:snapToGrid/>
              <w:spacing w:line="360" w:lineRule="exact"/>
              <w:jc w:val="center"/>
              <w:textAlignment w:val="auto"/>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108</w:t>
            </w:r>
          </w:p>
        </w:tc>
        <w:tc>
          <w:tcPr>
            <w:tcW w:w="495" w:type="dxa"/>
            <w:vAlign w:val="center"/>
          </w:tcPr>
          <w:p w14:paraId="049A5ABD">
            <w:pPr>
              <w:pageBreakBefore w:val="0"/>
              <w:kinsoku/>
              <w:wordWrap/>
              <w:overflowPunct/>
              <w:topLinePunct w:val="0"/>
              <w:bidi w:val="0"/>
              <w:snapToGrid/>
              <w:spacing w:line="360" w:lineRule="exact"/>
              <w:jc w:val="center"/>
              <w:textAlignment w:val="auto"/>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8</w:t>
            </w:r>
          </w:p>
        </w:tc>
        <w:tc>
          <w:tcPr>
            <w:tcW w:w="510" w:type="dxa"/>
            <w:vAlign w:val="center"/>
          </w:tcPr>
          <w:p w14:paraId="5DB88208">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7A629EF2">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675" w:type="dxa"/>
            <w:vAlign w:val="center"/>
          </w:tcPr>
          <w:p w14:paraId="658165B1">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345" w:type="dxa"/>
            <w:vAlign w:val="center"/>
          </w:tcPr>
          <w:p w14:paraId="02EEC9F7">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r>
      <w:tr w14:paraId="2AFD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4" w:type="dxa"/>
            <w:vMerge w:val="continue"/>
            <w:vAlign w:val="center"/>
          </w:tcPr>
          <w:p w14:paraId="3CB5834B">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restart"/>
            <w:vAlign w:val="center"/>
          </w:tcPr>
          <w:p w14:paraId="18ACD395">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选修</w:t>
            </w:r>
            <w:r>
              <w:rPr>
                <w:rFonts w:hint="eastAsia" w:ascii="宋体" w:hAnsi="宋体" w:cs="宋体"/>
                <w:color w:val="000000" w:themeColor="text1"/>
                <w:kern w:val="0"/>
                <w:sz w:val="18"/>
                <w:szCs w:val="18"/>
                <w14:textFill>
                  <w14:solidFill>
                    <w14:schemeClr w14:val="tx1"/>
                  </w14:solidFill>
                </w14:textFill>
              </w:rPr>
              <w:t>课</w:t>
            </w:r>
          </w:p>
        </w:tc>
        <w:tc>
          <w:tcPr>
            <w:tcW w:w="425" w:type="dxa"/>
            <w:vMerge w:val="restart"/>
            <w:vAlign w:val="center"/>
          </w:tcPr>
          <w:p w14:paraId="5AD6EFC7">
            <w:pPr>
              <w:pageBreakBefore w:val="0"/>
              <w:widowControl/>
              <w:kinsoku/>
              <w:wordWrap/>
              <w:overflowPunct/>
              <w:topLinePunct w:val="0"/>
              <w:bidi w:val="0"/>
              <w:snapToGrid/>
              <w:spacing w:line="360" w:lineRule="exact"/>
              <w:jc w:val="center"/>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限选课</w:t>
            </w:r>
          </w:p>
        </w:tc>
        <w:tc>
          <w:tcPr>
            <w:tcW w:w="952" w:type="dxa"/>
            <w:vAlign w:val="center"/>
          </w:tcPr>
          <w:p w14:paraId="641F8FB9">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1918" w:type="dxa"/>
            <w:shd w:val="clear" w:color="auto" w:fill="auto"/>
            <w:vAlign w:val="center"/>
          </w:tcPr>
          <w:p w14:paraId="2F7FC70C">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书法鉴赏</w:t>
            </w:r>
          </w:p>
        </w:tc>
        <w:tc>
          <w:tcPr>
            <w:tcW w:w="426" w:type="dxa"/>
            <w:shd w:val="clear" w:color="auto" w:fill="auto"/>
            <w:vAlign w:val="center"/>
          </w:tcPr>
          <w:p w14:paraId="18971760">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B</w:t>
            </w:r>
          </w:p>
        </w:tc>
        <w:tc>
          <w:tcPr>
            <w:tcW w:w="630" w:type="dxa"/>
            <w:shd w:val="clear" w:color="auto" w:fill="auto"/>
            <w:vAlign w:val="center"/>
          </w:tcPr>
          <w:p w14:paraId="29A96707">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630" w:type="dxa"/>
            <w:shd w:val="clear" w:color="auto" w:fill="auto"/>
            <w:vAlign w:val="center"/>
          </w:tcPr>
          <w:p w14:paraId="02DF68B1">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16</w:t>
            </w:r>
          </w:p>
        </w:tc>
        <w:tc>
          <w:tcPr>
            <w:tcW w:w="615" w:type="dxa"/>
            <w:shd w:val="clear" w:color="auto" w:fill="auto"/>
            <w:vAlign w:val="center"/>
          </w:tcPr>
          <w:p w14:paraId="13970876">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16</w:t>
            </w:r>
          </w:p>
        </w:tc>
        <w:tc>
          <w:tcPr>
            <w:tcW w:w="495" w:type="dxa"/>
            <w:shd w:val="clear" w:color="auto" w:fill="auto"/>
            <w:vAlign w:val="center"/>
          </w:tcPr>
          <w:p w14:paraId="6AE20841">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525" w:type="dxa"/>
            <w:shd w:val="clear" w:color="auto" w:fill="auto"/>
            <w:vAlign w:val="center"/>
          </w:tcPr>
          <w:p w14:paraId="5D6FFCE9">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510" w:type="dxa"/>
            <w:shd w:val="clear" w:color="auto" w:fill="auto"/>
            <w:vAlign w:val="center"/>
          </w:tcPr>
          <w:p w14:paraId="01B31383">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55" w:type="dxa"/>
            <w:vAlign w:val="center"/>
          </w:tcPr>
          <w:p w14:paraId="5F7AF726">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95" w:type="dxa"/>
            <w:vAlign w:val="center"/>
          </w:tcPr>
          <w:p w14:paraId="2A8140D5">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47AB202A">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1BA785BF">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675" w:type="dxa"/>
            <w:vAlign w:val="center"/>
          </w:tcPr>
          <w:p w14:paraId="48A5B0B5">
            <w:pPr>
              <w:pageBreakBefore w:val="0"/>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③⑤</w:t>
            </w:r>
          </w:p>
        </w:tc>
        <w:tc>
          <w:tcPr>
            <w:tcW w:w="345" w:type="dxa"/>
            <w:vAlign w:val="center"/>
          </w:tcPr>
          <w:p w14:paraId="78727373">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r>
      <w:tr w14:paraId="532E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74A5B298">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7C51E804">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Merge w:val="continue"/>
            <w:vAlign w:val="center"/>
          </w:tcPr>
          <w:p w14:paraId="453AB65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952" w:type="dxa"/>
            <w:vAlign w:val="center"/>
          </w:tcPr>
          <w:p w14:paraId="76B2B947">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1918" w:type="dxa"/>
            <w:vAlign w:val="center"/>
          </w:tcPr>
          <w:p w14:paraId="7E7F3CEB">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钧瓷鉴赏</w:t>
            </w:r>
          </w:p>
        </w:tc>
        <w:tc>
          <w:tcPr>
            <w:tcW w:w="426" w:type="dxa"/>
            <w:vAlign w:val="center"/>
          </w:tcPr>
          <w:p w14:paraId="43A2B553">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B</w:t>
            </w:r>
          </w:p>
        </w:tc>
        <w:tc>
          <w:tcPr>
            <w:tcW w:w="630" w:type="dxa"/>
            <w:vAlign w:val="center"/>
          </w:tcPr>
          <w:p w14:paraId="3CA7E916">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630" w:type="dxa"/>
            <w:vAlign w:val="center"/>
          </w:tcPr>
          <w:p w14:paraId="555E191F">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16</w:t>
            </w:r>
          </w:p>
        </w:tc>
        <w:tc>
          <w:tcPr>
            <w:tcW w:w="615" w:type="dxa"/>
            <w:vAlign w:val="center"/>
          </w:tcPr>
          <w:p w14:paraId="3C6F8549">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16</w:t>
            </w:r>
          </w:p>
        </w:tc>
        <w:tc>
          <w:tcPr>
            <w:tcW w:w="495" w:type="dxa"/>
            <w:vAlign w:val="center"/>
          </w:tcPr>
          <w:p w14:paraId="7A827138">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525" w:type="dxa"/>
            <w:vAlign w:val="center"/>
          </w:tcPr>
          <w:p w14:paraId="225498D1">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43B45D96">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555" w:type="dxa"/>
            <w:vAlign w:val="center"/>
          </w:tcPr>
          <w:p w14:paraId="4184C6B2">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95" w:type="dxa"/>
            <w:vAlign w:val="center"/>
          </w:tcPr>
          <w:p w14:paraId="645FF701">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3F188353">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27F15D70">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675" w:type="dxa"/>
            <w:vAlign w:val="center"/>
          </w:tcPr>
          <w:p w14:paraId="5EE7CB2F">
            <w:pPr>
              <w:pageBreakBefore w:val="0"/>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③⑤</w:t>
            </w:r>
          </w:p>
        </w:tc>
        <w:tc>
          <w:tcPr>
            <w:tcW w:w="345" w:type="dxa"/>
            <w:vAlign w:val="center"/>
          </w:tcPr>
          <w:p w14:paraId="613C6632">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r>
      <w:tr w14:paraId="54B0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4" w:type="dxa"/>
            <w:vMerge w:val="continue"/>
            <w:vAlign w:val="center"/>
          </w:tcPr>
          <w:p w14:paraId="7DA355A3">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4DBDBD5D">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Merge w:val="restart"/>
            <w:vAlign w:val="center"/>
          </w:tcPr>
          <w:p w14:paraId="1C831C5A">
            <w:pPr>
              <w:pageBreakBefore w:val="0"/>
              <w:widowControl/>
              <w:kinsoku/>
              <w:wordWrap/>
              <w:overflowPunct/>
              <w:topLinePunct w:val="0"/>
              <w:bidi w:val="0"/>
              <w:snapToGrid/>
              <w:spacing w:line="360" w:lineRule="exact"/>
              <w:jc w:val="center"/>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任选课</w:t>
            </w:r>
          </w:p>
        </w:tc>
        <w:tc>
          <w:tcPr>
            <w:tcW w:w="952" w:type="dxa"/>
            <w:vAlign w:val="center"/>
          </w:tcPr>
          <w:p w14:paraId="2E88F8A3">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1918" w:type="dxa"/>
            <w:vMerge w:val="restart"/>
            <w:vAlign w:val="center"/>
          </w:tcPr>
          <w:p w14:paraId="47F574AF">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sz w:val="18"/>
                <w:szCs w:val="18"/>
                <w:lang w:val="en-US" w:eastAsia="zh-CN"/>
              </w:rPr>
              <w:t>公共选修课清单表中的课程任选2门</w:t>
            </w:r>
          </w:p>
        </w:tc>
        <w:tc>
          <w:tcPr>
            <w:tcW w:w="426" w:type="dxa"/>
            <w:vAlign w:val="center"/>
          </w:tcPr>
          <w:p w14:paraId="540E61E1">
            <w:pPr>
              <w:pageBreakBefore w:val="0"/>
              <w:kinsoku/>
              <w:wordWrap/>
              <w:overflowPunct/>
              <w:topLinePunct w:val="0"/>
              <w:bidi w:val="0"/>
              <w:snapToGrid/>
              <w:spacing w:line="360" w:lineRule="exact"/>
              <w:jc w:val="center"/>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A</w:t>
            </w:r>
          </w:p>
        </w:tc>
        <w:tc>
          <w:tcPr>
            <w:tcW w:w="630" w:type="dxa"/>
            <w:vAlign w:val="center"/>
          </w:tcPr>
          <w:p w14:paraId="4E55D19B">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630" w:type="dxa"/>
            <w:vAlign w:val="center"/>
          </w:tcPr>
          <w:p w14:paraId="4EF6CD44">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615" w:type="dxa"/>
            <w:vAlign w:val="center"/>
          </w:tcPr>
          <w:p w14:paraId="372C6567">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95" w:type="dxa"/>
            <w:vAlign w:val="center"/>
          </w:tcPr>
          <w:p w14:paraId="7CDE5FB1">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525" w:type="dxa"/>
            <w:vAlign w:val="center"/>
          </w:tcPr>
          <w:p w14:paraId="662E5755">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749949CB">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55" w:type="dxa"/>
            <w:vAlign w:val="center"/>
          </w:tcPr>
          <w:p w14:paraId="52A2DB3D">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495" w:type="dxa"/>
            <w:vAlign w:val="center"/>
          </w:tcPr>
          <w:p w14:paraId="2B883D68">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06E9B053">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007D865C">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675" w:type="dxa"/>
            <w:vAlign w:val="center"/>
          </w:tcPr>
          <w:p w14:paraId="698FFB01">
            <w:pPr>
              <w:pageBreakBefore w:val="0"/>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③⑤</w:t>
            </w:r>
          </w:p>
        </w:tc>
        <w:tc>
          <w:tcPr>
            <w:tcW w:w="345" w:type="dxa"/>
            <w:vAlign w:val="center"/>
          </w:tcPr>
          <w:p w14:paraId="32E71A59">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r>
      <w:tr w14:paraId="2E65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4" w:type="dxa"/>
            <w:vMerge w:val="continue"/>
            <w:vAlign w:val="center"/>
          </w:tcPr>
          <w:p w14:paraId="6FC431C9">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3D1DAB6B">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Merge w:val="continue"/>
            <w:vAlign w:val="center"/>
          </w:tcPr>
          <w:p w14:paraId="7F472C4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952" w:type="dxa"/>
            <w:vAlign w:val="center"/>
          </w:tcPr>
          <w:p w14:paraId="4C944C35">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1918" w:type="dxa"/>
            <w:vMerge w:val="continue"/>
            <w:tcBorders/>
            <w:vAlign w:val="center"/>
          </w:tcPr>
          <w:p w14:paraId="43E6E308">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p>
        </w:tc>
        <w:tc>
          <w:tcPr>
            <w:tcW w:w="426" w:type="dxa"/>
            <w:vAlign w:val="center"/>
          </w:tcPr>
          <w:p w14:paraId="4C540C97">
            <w:pPr>
              <w:pageBreakBefore w:val="0"/>
              <w:kinsoku/>
              <w:wordWrap/>
              <w:overflowPunct/>
              <w:topLinePunct w:val="0"/>
              <w:bidi w:val="0"/>
              <w:snapToGrid/>
              <w:spacing w:line="360" w:lineRule="exact"/>
              <w:jc w:val="center"/>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A</w:t>
            </w:r>
          </w:p>
        </w:tc>
        <w:tc>
          <w:tcPr>
            <w:tcW w:w="630" w:type="dxa"/>
            <w:vAlign w:val="center"/>
          </w:tcPr>
          <w:p w14:paraId="73962DAF">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630" w:type="dxa"/>
            <w:vAlign w:val="center"/>
          </w:tcPr>
          <w:p w14:paraId="3B3C7735">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615" w:type="dxa"/>
            <w:vAlign w:val="center"/>
          </w:tcPr>
          <w:p w14:paraId="69CB0B61">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95" w:type="dxa"/>
            <w:vAlign w:val="center"/>
          </w:tcPr>
          <w:p w14:paraId="76A2CE9C">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525" w:type="dxa"/>
            <w:vAlign w:val="center"/>
          </w:tcPr>
          <w:p w14:paraId="25F443FC">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03E03C1C">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55" w:type="dxa"/>
            <w:vAlign w:val="center"/>
          </w:tcPr>
          <w:p w14:paraId="613610B0">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95" w:type="dxa"/>
            <w:vAlign w:val="center"/>
          </w:tcPr>
          <w:p w14:paraId="73D120FF">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510" w:type="dxa"/>
            <w:vAlign w:val="center"/>
          </w:tcPr>
          <w:p w14:paraId="7FBD4319">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603BC595">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675" w:type="dxa"/>
            <w:vAlign w:val="center"/>
          </w:tcPr>
          <w:p w14:paraId="732AB6B2">
            <w:pPr>
              <w:pageBreakBefore w:val="0"/>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③⑤</w:t>
            </w:r>
          </w:p>
        </w:tc>
        <w:tc>
          <w:tcPr>
            <w:tcW w:w="345" w:type="dxa"/>
            <w:vAlign w:val="center"/>
          </w:tcPr>
          <w:p w14:paraId="2B0FC9BF">
            <w:pPr>
              <w:pageBreakBefore w:val="0"/>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r>
      <w:tr w14:paraId="6E93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5177A309">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099D2E75">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1377" w:type="dxa"/>
            <w:gridSpan w:val="2"/>
            <w:vAlign w:val="center"/>
          </w:tcPr>
          <w:p w14:paraId="5A036953">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小计</w:t>
            </w:r>
          </w:p>
        </w:tc>
        <w:tc>
          <w:tcPr>
            <w:tcW w:w="1918" w:type="dxa"/>
            <w:vAlign w:val="center"/>
          </w:tcPr>
          <w:p w14:paraId="1BDE10D9">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kern w:val="0"/>
                <w:sz w:val="18"/>
                <w:szCs w:val="18"/>
                <w:lang w:val="en-US" w:eastAsia="zh-CN"/>
                <w14:textFill>
                  <w14:solidFill>
                    <w14:schemeClr w14:val="tx1"/>
                  </w14:solidFill>
                </w14:textFill>
              </w:rPr>
            </w:pPr>
            <w:r>
              <w:rPr>
                <w:rFonts w:hint="eastAsia" w:ascii="宋体" w:hAnsi="宋体" w:cs="宋体"/>
                <w:b/>
                <w:bCs w:val="0"/>
                <w:color w:val="000000" w:themeColor="text1"/>
                <w:kern w:val="0"/>
                <w:sz w:val="18"/>
                <w:szCs w:val="18"/>
                <w:lang w:val="en-US" w:eastAsia="zh-CN"/>
                <w14:textFill>
                  <w14:solidFill>
                    <w14:schemeClr w14:val="tx1"/>
                  </w14:solidFill>
                </w14:textFill>
              </w:rPr>
              <w:t>共4门</w:t>
            </w:r>
          </w:p>
        </w:tc>
        <w:tc>
          <w:tcPr>
            <w:tcW w:w="426" w:type="dxa"/>
            <w:vAlign w:val="center"/>
          </w:tcPr>
          <w:p w14:paraId="695FB675">
            <w:pPr>
              <w:pageBreakBefore w:val="0"/>
              <w:widowControl/>
              <w:kinsoku/>
              <w:wordWrap/>
              <w:overflowPunct/>
              <w:topLinePunct w:val="0"/>
              <w:bidi w:val="0"/>
              <w:snapToGrid/>
              <w:spacing w:line="360" w:lineRule="exact"/>
              <w:jc w:val="center"/>
              <w:textAlignment w:val="auto"/>
              <w:rPr>
                <w:rFonts w:ascii="宋体" w:hAnsi="宋体" w:cs="宋体"/>
                <w:b/>
                <w:color w:val="000000" w:themeColor="text1"/>
                <w:kern w:val="0"/>
                <w:sz w:val="18"/>
                <w:szCs w:val="18"/>
                <w14:textFill>
                  <w14:solidFill>
                    <w14:schemeClr w14:val="tx1"/>
                  </w14:solidFill>
                </w14:textFill>
              </w:rPr>
            </w:pPr>
          </w:p>
        </w:tc>
        <w:tc>
          <w:tcPr>
            <w:tcW w:w="630" w:type="dxa"/>
            <w:vAlign w:val="center"/>
          </w:tcPr>
          <w:p w14:paraId="731A36DF">
            <w:pPr>
              <w:pageBreakBefore w:val="0"/>
              <w:widowControl/>
              <w:kinsoku/>
              <w:wordWrap/>
              <w:overflowPunct/>
              <w:topLinePunct w:val="0"/>
              <w:bidi w:val="0"/>
              <w:snapToGrid/>
              <w:spacing w:line="360" w:lineRule="exact"/>
              <w:jc w:val="center"/>
              <w:textAlignment w:val="auto"/>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128</w:t>
            </w:r>
          </w:p>
        </w:tc>
        <w:tc>
          <w:tcPr>
            <w:tcW w:w="630" w:type="dxa"/>
            <w:vAlign w:val="center"/>
          </w:tcPr>
          <w:p w14:paraId="21D3F847">
            <w:pPr>
              <w:pageBreakBefore w:val="0"/>
              <w:widowControl/>
              <w:kinsoku/>
              <w:wordWrap/>
              <w:overflowPunct/>
              <w:topLinePunct w:val="0"/>
              <w:bidi w:val="0"/>
              <w:snapToGrid/>
              <w:spacing w:line="360" w:lineRule="exact"/>
              <w:jc w:val="center"/>
              <w:textAlignment w:val="auto"/>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96</w:t>
            </w:r>
          </w:p>
        </w:tc>
        <w:tc>
          <w:tcPr>
            <w:tcW w:w="615" w:type="dxa"/>
            <w:vAlign w:val="center"/>
          </w:tcPr>
          <w:p w14:paraId="18CBEDDC">
            <w:pPr>
              <w:pageBreakBefore w:val="0"/>
              <w:widowControl/>
              <w:kinsoku/>
              <w:wordWrap/>
              <w:overflowPunct/>
              <w:topLinePunct w:val="0"/>
              <w:bidi w:val="0"/>
              <w:snapToGrid/>
              <w:spacing w:line="360" w:lineRule="exact"/>
              <w:jc w:val="center"/>
              <w:textAlignment w:val="auto"/>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32</w:t>
            </w:r>
          </w:p>
        </w:tc>
        <w:tc>
          <w:tcPr>
            <w:tcW w:w="495" w:type="dxa"/>
            <w:vAlign w:val="center"/>
          </w:tcPr>
          <w:p w14:paraId="554A67FB">
            <w:pPr>
              <w:pageBreakBefore w:val="0"/>
              <w:widowControl/>
              <w:kinsoku/>
              <w:wordWrap/>
              <w:overflowPunct/>
              <w:topLinePunct w:val="0"/>
              <w:bidi w:val="0"/>
              <w:snapToGrid/>
              <w:spacing w:line="360" w:lineRule="exact"/>
              <w:jc w:val="center"/>
              <w:textAlignment w:val="auto"/>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8</w:t>
            </w:r>
          </w:p>
        </w:tc>
        <w:tc>
          <w:tcPr>
            <w:tcW w:w="525" w:type="dxa"/>
            <w:vAlign w:val="center"/>
          </w:tcPr>
          <w:p w14:paraId="1D7C183C">
            <w:pPr>
              <w:pageBreakBefore w:val="0"/>
              <w:widowControl/>
              <w:kinsoku/>
              <w:wordWrap/>
              <w:overflowPunct/>
              <w:topLinePunct w:val="0"/>
              <w:bidi w:val="0"/>
              <w:snapToGrid/>
              <w:spacing w:line="360" w:lineRule="exact"/>
              <w:jc w:val="center"/>
              <w:textAlignment w:val="auto"/>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32</w:t>
            </w:r>
          </w:p>
        </w:tc>
        <w:tc>
          <w:tcPr>
            <w:tcW w:w="510" w:type="dxa"/>
            <w:vAlign w:val="center"/>
          </w:tcPr>
          <w:p w14:paraId="17832921">
            <w:pPr>
              <w:pageBreakBefore w:val="0"/>
              <w:widowControl/>
              <w:kinsoku/>
              <w:wordWrap/>
              <w:overflowPunct/>
              <w:topLinePunct w:val="0"/>
              <w:bidi w:val="0"/>
              <w:snapToGrid/>
              <w:spacing w:line="360" w:lineRule="exact"/>
              <w:jc w:val="center"/>
              <w:textAlignment w:val="auto"/>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32</w:t>
            </w:r>
          </w:p>
        </w:tc>
        <w:tc>
          <w:tcPr>
            <w:tcW w:w="555" w:type="dxa"/>
            <w:vAlign w:val="center"/>
          </w:tcPr>
          <w:p w14:paraId="721F6386">
            <w:pPr>
              <w:pageBreakBefore w:val="0"/>
              <w:widowControl/>
              <w:kinsoku/>
              <w:wordWrap/>
              <w:overflowPunct/>
              <w:topLinePunct w:val="0"/>
              <w:bidi w:val="0"/>
              <w:snapToGrid/>
              <w:spacing w:line="360" w:lineRule="exact"/>
              <w:jc w:val="center"/>
              <w:textAlignment w:val="auto"/>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32</w:t>
            </w:r>
          </w:p>
        </w:tc>
        <w:tc>
          <w:tcPr>
            <w:tcW w:w="495" w:type="dxa"/>
            <w:vAlign w:val="center"/>
          </w:tcPr>
          <w:p w14:paraId="5FB6DBE2">
            <w:pPr>
              <w:pageBreakBefore w:val="0"/>
              <w:widowControl/>
              <w:kinsoku/>
              <w:wordWrap/>
              <w:overflowPunct/>
              <w:topLinePunct w:val="0"/>
              <w:bidi w:val="0"/>
              <w:snapToGrid/>
              <w:spacing w:line="360" w:lineRule="exact"/>
              <w:jc w:val="center"/>
              <w:textAlignment w:val="auto"/>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32</w:t>
            </w:r>
          </w:p>
        </w:tc>
        <w:tc>
          <w:tcPr>
            <w:tcW w:w="510" w:type="dxa"/>
            <w:vAlign w:val="center"/>
          </w:tcPr>
          <w:p w14:paraId="2517B14E">
            <w:pPr>
              <w:pageBreakBefore w:val="0"/>
              <w:widowControl/>
              <w:kinsoku/>
              <w:wordWrap/>
              <w:overflowPunct/>
              <w:topLinePunct w:val="0"/>
              <w:bidi w:val="0"/>
              <w:snapToGrid/>
              <w:spacing w:line="360" w:lineRule="exact"/>
              <w:jc w:val="center"/>
              <w:textAlignment w:val="auto"/>
              <w:rPr>
                <w:rFonts w:ascii="宋体" w:hAnsi="宋体" w:cs="宋体"/>
                <w:b/>
                <w:color w:val="000000" w:themeColor="text1"/>
                <w:kern w:val="0"/>
                <w:sz w:val="18"/>
                <w:szCs w:val="18"/>
                <w14:textFill>
                  <w14:solidFill>
                    <w14:schemeClr w14:val="tx1"/>
                  </w14:solidFill>
                </w14:textFill>
              </w:rPr>
            </w:pPr>
          </w:p>
        </w:tc>
        <w:tc>
          <w:tcPr>
            <w:tcW w:w="510" w:type="dxa"/>
            <w:vAlign w:val="center"/>
          </w:tcPr>
          <w:p w14:paraId="63CD18B5">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kern w:val="0"/>
                <w:sz w:val="18"/>
                <w:szCs w:val="18"/>
                <w14:textFill>
                  <w14:solidFill>
                    <w14:schemeClr w14:val="tx1"/>
                  </w14:solidFill>
                </w14:textFill>
              </w:rPr>
            </w:pPr>
          </w:p>
        </w:tc>
        <w:tc>
          <w:tcPr>
            <w:tcW w:w="675" w:type="dxa"/>
            <w:vAlign w:val="center"/>
          </w:tcPr>
          <w:p w14:paraId="7E61B7F6">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kern w:val="0"/>
                <w:sz w:val="18"/>
                <w:szCs w:val="18"/>
                <w14:textFill>
                  <w14:solidFill>
                    <w14:schemeClr w14:val="tx1"/>
                  </w14:solidFill>
                </w14:textFill>
              </w:rPr>
            </w:pPr>
          </w:p>
        </w:tc>
        <w:tc>
          <w:tcPr>
            <w:tcW w:w="345" w:type="dxa"/>
            <w:vAlign w:val="center"/>
          </w:tcPr>
          <w:p w14:paraId="7BD42652">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kern w:val="0"/>
                <w:sz w:val="18"/>
                <w:szCs w:val="18"/>
                <w14:textFill>
                  <w14:solidFill>
                    <w14:schemeClr w14:val="tx1"/>
                  </w14:solidFill>
                </w14:textFill>
              </w:rPr>
            </w:pPr>
          </w:p>
        </w:tc>
      </w:tr>
      <w:tr w14:paraId="6740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restart"/>
            <w:vAlign w:val="center"/>
          </w:tcPr>
          <w:p w14:paraId="483B290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专业技能课</w:t>
            </w:r>
          </w:p>
        </w:tc>
        <w:tc>
          <w:tcPr>
            <w:tcW w:w="436" w:type="dxa"/>
            <w:vMerge w:val="restart"/>
            <w:vAlign w:val="center"/>
          </w:tcPr>
          <w:p w14:paraId="39C95F0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专业基础课</w:t>
            </w:r>
          </w:p>
        </w:tc>
        <w:tc>
          <w:tcPr>
            <w:tcW w:w="425" w:type="dxa"/>
            <w:vAlign w:val="center"/>
          </w:tcPr>
          <w:p w14:paraId="6D89C2F1">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52" w:type="dxa"/>
            <w:vAlign w:val="center"/>
          </w:tcPr>
          <w:p w14:paraId="6C332F3C">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080401Z</w:t>
            </w:r>
          </w:p>
        </w:tc>
        <w:tc>
          <w:tcPr>
            <w:tcW w:w="1918" w:type="dxa"/>
            <w:vAlign w:val="center"/>
          </w:tcPr>
          <w:p w14:paraId="1B2735AD">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老龄事业与产业发展</w:t>
            </w:r>
          </w:p>
        </w:tc>
        <w:tc>
          <w:tcPr>
            <w:tcW w:w="426" w:type="dxa"/>
            <w:vAlign w:val="center"/>
          </w:tcPr>
          <w:p w14:paraId="70ADD6C7">
            <w:pPr>
              <w:pageBreakBefore w:val="0"/>
              <w:widowControl/>
              <w:kinsoku/>
              <w:wordWrap/>
              <w:overflowPunct/>
              <w:topLinePunct w:val="0"/>
              <w:bidi w:val="0"/>
              <w:snapToGrid/>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B</w:t>
            </w:r>
          </w:p>
        </w:tc>
        <w:tc>
          <w:tcPr>
            <w:tcW w:w="630" w:type="dxa"/>
            <w:vAlign w:val="center"/>
          </w:tcPr>
          <w:p w14:paraId="6470500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630" w:type="dxa"/>
            <w:vAlign w:val="center"/>
          </w:tcPr>
          <w:p w14:paraId="5548514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48</w:t>
            </w:r>
          </w:p>
        </w:tc>
        <w:tc>
          <w:tcPr>
            <w:tcW w:w="615" w:type="dxa"/>
            <w:vAlign w:val="center"/>
          </w:tcPr>
          <w:p w14:paraId="4BF103D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495" w:type="dxa"/>
            <w:vAlign w:val="center"/>
          </w:tcPr>
          <w:p w14:paraId="0F3914E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525" w:type="dxa"/>
            <w:vAlign w:val="center"/>
          </w:tcPr>
          <w:p w14:paraId="3F07C95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10" w:type="dxa"/>
            <w:vAlign w:val="center"/>
          </w:tcPr>
          <w:p w14:paraId="28C185C5">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55" w:type="dxa"/>
            <w:vAlign w:val="center"/>
          </w:tcPr>
          <w:p w14:paraId="115DD2A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vAlign w:val="center"/>
          </w:tcPr>
          <w:p w14:paraId="0AFF8F7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54092AA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5730F7C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61B1CA35">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①</w:t>
            </w:r>
          </w:p>
        </w:tc>
        <w:tc>
          <w:tcPr>
            <w:tcW w:w="345" w:type="dxa"/>
            <w:vAlign w:val="center"/>
          </w:tcPr>
          <w:p w14:paraId="30B639A1">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56F9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48E450E7">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4FD4F431">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57CB0C7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952" w:type="dxa"/>
            <w:vAlign w:val="center"/>
          </w:tcPr>
          <w:p w14:paraId="4F1B39DC">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080402Z</w:t>
            </w:r>
          </w:p>
        </w:tc>
        <w:tc>
          <w:tcPr>
            <w:tcW w:w="1918" w:type="dxa"/>
            <w:vAlign w:val="center"/>
          </w:tcPr>
          <w:p w14:paraId="7CD48DB7">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康养政策法规与标准</w:t>
            </w:r>
          </w:p>
        </w:tc>
        <w:tc>
          <w:tcPr>
            <w:tcW w:w="426" w:type="dxa"/>
            <w:vAlign w:val="center"/>
          </w:tcPr>
          <w:p w14:paraId="0BE68FAC">
            <w:pPr>
              <w:pageBreakBefore w:val="0"/>
              <w:widowControl/>
              <w:kinsoku/>
              <w:wordWrap/>
              <w:overflowPunct/>
              <w:topLinePunct w:val="0"/>
              <w:bidi w:val="0"/>
              <w:snapToGrid/>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B</w:t>
            </w:r>
          </w:p>
        </w:tc>
        <w:tc>
          <w:tcPr>
            <w:tcW w:w="630" w:type="dxa"/>
            <w:vAlign w:val="center"/>
          </w:tcPr>
          <w:p w14:paraId="0C9EE37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0" w:type="dxa"/>
            <w:vAlign w:val="center"/>
          </w:tcPr>
          <w:p w14:paraId="7FCFDE5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24</w:t>
            </w:r>
          </w:p>
        </w:tc>
        <w:tc>
          <w:tcPr>
            <w:tcW w:w="615" w:type="dxa"/>
            <w:vAlign w:val="center"/>
          </w:tcPr>
          <w:p w14:paraId="111ECB9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495" w:type="dxa"/>
            <w:vAlign w:val="center"/>
          </w:tcPr>
          <w:p w14:paraId="75AE011A">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25" w:type="dxa"/>
            <w:vAlign w:val="center"/>
          </w:tcPr>
          <w:p w14:paraId="60440A0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698AACB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55" w:type="dxa"/>
            <w:vAlign w:val="center"/>
          </w:tcPr>
          <w:p w14:paraId="6062EF7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vAlign w:val="center"/>
          </w:tcPr>
          <w:p w14:paraId="1C3528E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7D5CC9B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666933D5">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0F83C76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②</w:t>
            </w:r>
          </w:p>
        </w:tc>
        <w:tc>
          <w:tcPr>
            <w:tcW w:w="345" w:type="dxa"/>
            <w:vAlign w:val="center"/>
          </w:tcPr>
          <w:p w14:paraId="70824265">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4D87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3EBFA5DE">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74632B2A">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shd w:val="clear" w:color="auto" w:fill="auto"/>
            <w:vAlign w:val="center"/>
          </w:tcPr>
          <w:p w14:paraId="5A55238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952" w:type="dxa"/>
            <w:shd w:val="clear" w:color="auto" w:fill="auto"/>
            <w:vAlign w:val="center"/>
          </w:tcPr>
          <w:p w14:paraId="2CCC2111">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080403Z</w:t>
            </w:r>
          </w:p>
        </w:tc>
        <w:tc>
          <w:tcPr>
            <w:tcW w:w="1918" w:type="dxa"/>
            <w:vAlign w:val="center"/>
          </w:tcPr>
          <w:p w14:paraId="401951EE">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老年学概论</w:t>
            </w:r>
          </w:p>
        </w:tc>
        <w:tc>
          <w:tcPr>
            <w:tcW w:w="426" w:type="dxa"/>
            <w:vAlign w:val="center"/>
          </w:tcPr>
          <w:p w14:paraId="2FC2BF41">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vAlign w:val="center"/>
          </w:tcPr>
          <w:p w14:paraId="5DFCF74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630" w:type="dxa"/>
            <w:vAlign w:val="center"/>
          </w:tcPr>
          <w:p w14:paraId="526393A3">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48</w:t>
            </w:r>
          </w:p>
        </w:tc>
        <w:tc>
          <w:tcPr>
            <w:tcW w:w="615" w:type="dxa"/>
            <w:vAlign w:val="center"/>
          </w:tcPr>
          <w:p w14:paraId="0A3C6E5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495" w:type="dxa"/>
            <w:vAlign w:val="center"/>
          </w:tcPr>
          <w:p w14:paraId="46CCC3D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525" w:type="dxa"/>
            <w:vAlign w:val="center"/>
          </w:tcPr>
          <w:p w14:paraId="3B168BF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03CA6AC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55" w:type="dxa"/>
            <w:vAlign w:val="center"/>
          </w:tcPr>
          <w:p w14:paraId="2106CEA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vAlign w:val="center"/>
          </w:tcPr>
          <w:p w14:paraId="12A06B5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10" w:type="dxa"/>
            <w:vAlign w:val="center"/>
          </w:tcPr>
          <w:p w14:paraId="7C5D2953">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084AAAC1">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2416339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①</w:t>
            </w:r>
          </w:p>
        </w:tc>
        <w:tc>
          <w:tcPr>
            <w:tcW w:w="345" w:type="dxa"/>
            <w:vAlign w:val="center"/>
          </w:tcPr>
          <w:p w14:paraId="46C5A2B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7D9A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548FDA56">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769D25C0">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shd w:val="clear" w:color="auto" w:fill="auto"/>
            <w:vAlign w:val="center"/>
          </w:tcPr>
          <w:p w14:paraId="2B1E935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952" w:type="dxa"/>
            <w:shd w:val="clear" w:color="auto" w:fill="auto"/>
            <w:vAlign w:val="center"/>
          </w:tcPr>
          <w:p w14:paraId="0248E529">
            <w:pPr>
              <w:pageBreakBefore w:val="0"/>
              <w:widowControl/>
              <w:kinsoku/>
              <w:wordWrap/>
              <w:overflowPunct/>
              <w:topLinePunct w:val="0"/>
              <w:bidi w:val="0"/>
              <w:snapToGrid/>
              <w:spacing w:line="360" w:lineRule="exact"/>
              <w:jc w:val="left"/>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080404Z</w:t>
            </w:r>
          </w:p>
        </w:tc>
        <w:tc>
          <w:tcPr>
            <w:tcW w:w="1918" w:type="dxa"/>
            <w:vAlign w:val="center"/>
          </w:tcPr>
          <w:p w14:paraId="2B893075">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老年服务礼仪与沟通</w:t>
            </w:r>
          </w:p>
        </w:tc>
        <w:tc>
          <w:tcPr>
            <w:tcW w:w="426" w:type="dxa"/>
            <w:vAlign w:val="center"/>
          </w:tcPr>
          <w:p w14:paraId="20FF09E1">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vAlign w:val="center"/>
          </w:tcPr>
          <w:p w14:paraId="0CB28ABB">
            <w:pPr>
              <w:pageBreakBefore w:val="0"/>
              <w:widowControl/>
              <w:kinsoku/>
              <w:wordWrap/>
              <w:overflowPunct/>
              <w:topLinePunct w:val="0"/>
              <w:bidi w:val="0"/>
              <w:snapToGrid/>
              <w:spacing w:line="360" w:lineRule="exact"/>
              <w:jc w:val="center"/>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64</w:t>
            </w:r>
          </w:p>
        </w:tc>
        <w:tc>
          <w:tcPr>
            <w:tcW w:w="630" w:type="dxa"/>
            <w:vAlign w:val="center"/>
          </w:tcPr>
          <w:p w14:paraId="0DC1B67F">
            <w:pPr>
              <w:pageBreakBefore w:val="0"/>
              <w:widowControl/>
              <w:kinsoku/>
              <w:wordWrap/>
              <w:overflowPunct/>
              <w:topLinePunct w:val="0"/>
              <w:bidi w:val="0"/>
              <w:snapToGrid/>
              <w:spacing w:line="360" w:lineRule="exact"/>
              <w:jc w:val="center"/>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32</w:t>
            </w:r>
          </w:p>
        </w:tc>
        <w:tc>
          <w:tcPr>
            <w:tcW w:w="615" w:type="dxa"/>
            <w:vAlign w:val="center"/>
          </w:tcPr>
          <w:p w14:paraId="3A2582EB">
            <w:pPr>
              <w:pageBreakBefore w:val="0"/>
              <w:widowControl/>
              <w:kinsoku/>
              <w:wordWrap/>
              <w:overflowPunct/>
              <w:topLinePunct w:val="0"/>
              <w:bidi w:val="0"/>
              <w:snapToGrid/>
              <w:spacing w:line="360" w:lineRule="exact"/>
              <w:jc w:val="center"/>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32</w:t>
            </w:r>
          </w:p>
        </w:tc>
        <w:tc>
          <w:tcPr>
            <w:tcW w:w="495" w:type="dxa"/>
            <w:vAlign w:val="center"/>
          </w:tcPr>
          <w:p w14:paraId="26923EDD">
            <w:pPr>
              <w:pageBreakBefore w:val="0"/>
              <w:widowControl/>
              <w:kinsoku/>
              <w:wordWrap/>
              <w:overflowPunct/>
              <w:topLinePunct w:val="0"/>
              <w:bidi w:val="0"/>
              <w:snapToGrid/>
              <w:spacing w:line="360" w:lineRule="exact"/>
              <w:jc w:val="center"/>
              <w:textAlignment w:val="auto"/>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w:t>
            </w:r>
          </w:p>
        </w:tc>
        <w:tc>
          <w:tcPr>
            <w:tcW w:w="525" w:type="dxa"/>
            <w:vAlign w:val="center"/>
          </w:tcPr>
          <w:p w14:paraId="75FF405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78BA019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55" w:type="dxa"/>
            <w:vAlign w:val="center"/>
          </w:tcPr>
          <w:p w14:paraId="5EDD6F64">
            <w:pPr>
              <w:pageBreakBefore w:val="0"/>
              <w:widowControl/>
              <w:kinsoku/>
              <w:wordWrap/>
              <w:overflowPunct/>
              <w:topLinePunct w:val="0"/>
              <w:bidi w:val="0"/>
              <w:snapToGrid/>
              <w:spacing w:line="360" w:lineRule="exact"/>
              <w:jc w:val="center"/>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64</w:t>
            </w:r>
          </w:p>
        </w:tc>
        <w:tc>
          <w:tcPr>
            <w:tcW w:w="495" w:type="dxa"/>
            <w:vAlign w:val="center"/>
          </w:tcPr>
          <w:p w14:paraId="51E45FC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0060C45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105F1D2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44AEAD4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④</w:t>
            </w:r>
          </w:p>
        </w:tc>
        <w:tc>
          <w:tcPr>
            <w:tcW w:w="345" w:type="dxa"/>
            <w:vAlign w:val="center"/>
          </w:tcPr>
          <w:p w14:paraId="7CA81A6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54EC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1324182B">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0E96113D">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shd w:val="clear" w:color="auto" w:fill="auto"/>
            <w:vAlign w:val="center"/>
          </w:tcPr>
          <w:p w14:paraId="342014F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952" w:type="dxa"/>
            <w:shd w:val="clear" w:color="auto" w:fill="auto"/>
            <w:vAlign w:val="center"/>
          </w:tcPr>
          <w:p w14:paraId="49BE0DBC">
            <w:pPr>
              <w:pageBreakBefore w:val="0"/>
              <w:widowControl/>
              <w:kinsoku/>
              <w:wordWrap/>
              <w:overflowPunct/>
              <w:topLinePunct w:val="0"/>
              <w:bidi w:val="0"/>
              <w:snapToGrid/>
              <w:spacing w:line="360" w:lineRule="exact"/>
              <w:jc w:val="left"/>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080405Z</w:t>
            </w:r>
          </w:p>
        </w:tc>
        <w:tc>
          <w:tcPr>
            <w:tcW w:w="1918" w:type="dxa"/>
            <w:vAlign w:val="center"/>
          </w:tcPr>
          <w:p w14:paraId="79CFADDA">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正常人体结构与功能</w:t>
            </w:r>
          </w:p>
        </w:tc>
        <w:tc>
          <w:tcPr>
            <w:tcW w:w="426" w:type="dxa"/>
            <w:vAlign w:val="center"/>
          </w:tcPr>
          <w:p w14:paraId="500FE01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vAlign w:val="center"/>
          </w:tcPr>
          <w:p w14:paraId="1A6AF0A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630" w:type="dxa"/>
            <w:vAlign w:val="center"/>
          </w:tcPr>
          <w:p w14:paraId="6684EF0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15" w:type="dxa"/>
            <w:vAlign w:val="center"/>
          </w:tcPr>
          <w:p w14:paraId="5B5BE7DA">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495" w:type="dxa"/>
            <w:vAlign w:val="center"/>
          </w:tcPr>
          <w:p w14:paraId="0CB7F3B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525" w:type="dxa"/>
            <w:vAlign w:val="center"/>
          </w:tcPr>
          <w:p w14:paraId="15C626C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22DD2CB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55" w:type="dxa"/>
            <w:vAlign w:val="center"/>
          </w:tcPr>
          <w:p w14:paraId="57657EBA">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495" w:type="dxa"/>
            <w:vAlign w:val="center"/>
          </w:tcPr>
          <w:p w14:paraId="427625E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3944803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43B83A9C">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5897E74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①</w:t>
            </w:r>
          </w:p>
        </w:tc>
        <w:tc>
          <w:tcPr>
            <w:tcW w:w="345" w:type="dxa"/>
            <w:vAlign w:val="center"/>
          </w:tcPr>
          <w:p w14:paraId="4757149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2BA5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4" w:type="dxa"/>
            <w:vMerge w:val="continue"/>
            <w:vAlign w:val="center"/>
          </w:tcPr>
          <w:p w14:paraId="137EABC5">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4B57CB58">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shd w:val="clear" w:color="auto" w:fill="auto"/>
            <w:vAlign w:val="center"/>
          </w:tcPr>
          <w:p w14:paraId="15079E7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952" w:type="dxa"/>
            <w:shd w:val="clear" w:color="auto" w:fill="auto"/>
            <w:vAlign w:val="center"/>
          </w:tcPr>
          <w:p w14:paraId="6F7D90D6">
            <w:pPr>
              <w:pageBreakBefore w:val="0"/>
              <w:widowControl/>
              <w:kinsoku/>
              <w:wordWrap/>
              <w:overflowPunct/>
              <w:topLinePunct w:val="0"/>
              <w:bidi w:val="0"/>
              <w:snapToGrid/>
              <w:spacing w:line="360" w:lineRule="exact"/>
              <w:jc w:val="left"/>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080406Z</w:t>
            </w:r>
          </w:p>
        </w:tc>
        <w:tc>
          <w:tcPr>
            <w:tcW w:w="1918" w:type="dxa"/>
            <w:vAlign w:val="center"/>
          </w:tcPr>
          <w:p w14:paraId="0F5958DC">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健康养老职业素养与安全</w:t>
            </w:r>
          </w:p>
        </w:tc>
        <w:tc>
          <w:tcPr>
            <w:tcW w:w="426" w:type="dxa"/>
            <w:vAlign w:val="center"/>
          </w:tcPr>
          <w:p w14:paraId="4BA41DE5">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vAlign w:val="center"/>
          </w:tcPr>
          <w:p w14:paraId="0890870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0" w:type="dxa"/>
            <w:vAlign w:val="center"/>
          </w:tcPr>
          <w:p w14:paraId="2980C87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615" w:type="dxa"/>
            <w:vAlign w:val="center"/>
          </w:tcPr>
          <w:p w14:paraId="5624E2C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495" w:type="dxa"/>
            <w:vAlign w:val="center"/>
          </w:tcPr>
          <w:p w14:paraId="272060E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25" w:type="dxa"/>
            <w:vAlign w:val="center"/>
          </w:tcPr>
          <w:p w14:paraId="4B96457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3F5E0FB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55" w:type="dxa"/>
            <w:vAlign w:val="center"/>
          </w:tcPr>
          <w:p w14:paraId="586B7A3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vAlign w:val="center"/>
          </w:tcPr>
          <w:p w14:paraId="5251E6C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0A2B9B9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1298E76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2C26F10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②</w:t>
            </w:r>
          </w:p>
        </w:tc>
        <w:tc>
          <w:tcPr>
            <w:tcW w:w="345" w:type="dxa"/>
            <w:vAlign w:val="center"/>
          </w:tcPr>
          <w:p w14:paraId="6C1C3F45">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4F85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42913F16">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4D6D353D">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shd w:val="clear" w:color="auto" w:fill="auto"/>
            <w:vAlign w:val="center"/>
          </w:tcPr>
          <w:p w14:paraId="1140840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952" w:type="dxa"/>
            <w:shd w:val="clear" w:color="auto" w:fill="auto"/>
            <w:vAlign w:val="center"/>
          </w:tcPr>
          <w:p w14:paraId="04367DB9">
            <w:pPr>
              <w:pageBreakBefore w:val="0"/>
              <w:widowControl/>
              <w:kinsoku/>
              <w:wordWrap/>
              <w:overflowPunct/>
              <w:topLinePunct w:val="0"/>
              <w:bidi w:val="0"/>
              <w:snapToGrid/>
              <w:spacing w:line="360" w:lineRule="exact"/>
              <w:jc w:val="left"/>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080407Z</w:t>
            </w:r>
          </w:p>
        </w:tc>
        <w:tc>
          <w:tcPr>
            <w:tcW w:w="1918" w:type="dxa"/>
            <w:vAlign w:val="center"/>
          </w:tcPr>
          <w:p w14:paraId="313385EB">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健康养老大数据应用</w:t>
            </w:r>
          </w:p>
        </w:tc>
        <w:tc>
          <w:tcPr>
            <w:tcW w:w="426" w:type="dxa"/>
            <w:vAlign w:val="center"/>
          </w:tcPr>
          <w:p w14:paraId="3846820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vAlign w:val="center"/>
          </w:tcPr>
          <w:p w14:paraId="0F5CDBB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0" w:type="dxa"/>
            <w:vAlign w:val="center"/>
          </w:tcPr>
          <w:p w14:paraId="4834ABD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615" w:type="dxa"/>
            <w:vAlign w:val="center"/>
          </w:tcPr>
          <w:p w14:paraId="6056D4E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495" w:type="dxa"/>
            <w:vAlign w:val="center"/>
          </w:tcPr>
          <w:p w14:paraId="0B2CAF5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25" w:type="dxa"/>
            <w:vAlign w:val="center"/>
          </w:tcPr>
          <w:p w14:paraId="03AB6421">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10" w:type="dxa"/>
            <w:vAlign w:val="center"/>
          </w:tcPr>
          <w:p w14:paraId="54A06F31">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55" w:type="dxa"/>
            <w:vAlign w:val="center"/>
          </w:tcPr>
          <w:p w14:paraId="0B2B5C9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vAlign w:val="center"/>
          </w:tcPr>
          <w:p w14:paraId="3B596A1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5DC37D9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5F61FE2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74E42875">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①</w:t>
            </w:r>
          </w:p>
        </w:tc>
        <w:tc>
          <w:tcPr>
            <w:tcW w:w="345" w:type="dxa"/>
            <w:vAlign w:val="center"/>
          </w:tcPr>
          <w:p w14:paraId="74BF603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25D5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4940C94F">
            <w:pPr>
              <w:pageBreakBefore w:val="0"/>
              <w:widowControl/>
              <w:kinsoku/>
              <w:wordWrap/>
              <w:overflowPunct/>
              <w:topLinePunct w:val="0"/>
              <w:bidi w:val="0"/>
              <w:snapToGrid/>
              <w:spacing w:line="360" w:lineRule="exact"/>
              <w:jc w:val="left"/>
              <w:textAlignment w:val="auto"/>
              <w:rPr>
                <w:rFonts w:ascii="宋体" w:hAnsi="宋体" w:cs="宋体"/>
                <w:b/>
                <w:bCs/>
                <w:color w:val="000000" w:themeColor="text1"/>
                <w:kern w:val="0"/>
                <w:sz w:val="18"/>
                <w:szCs w:val="18"/>
                <w14:textFill>
                  <w14:solidFill>
                    <w14:schemeClr w14:val="tx1"/>
                  </w14:solidFill>
                </w14:textFill>
              </w:rPr>
            </w:pPr>
          </w:p>
        </w:tc>
        <w:tc>
          <w:tcPr>
            <w:tcW w:w="436" w:type="dxa"/>
            <w:vMerge w:val="continue"/>
            <w:vAlign w:val="center"/>
          </w:tcPr>
          <w:p w14:paraId="33796291">
            <w:pPr>
              <w:pageBreakBefore w:val="0"/>
              <w:widowControl/>
              <w:kinsoku/>
              <w:wordWrap/>
              <w:overflowPunct/>
              <w:topLinePunct w:val="0"/>
              <w:bidi w:val="0"/>
              <w:snapToGrid/>
              <w:spacing w:line="360" w:lineRule="exact"/>
              <w:jc w:val="left"/>
              <w:textAlignment w:val="auto"/>
              <w:rPr>
                <w:rFonts w:ascii="宋体" w:hAnsi="宋体" w:cs="宋体"/>
                <w:b/>
                <w:bCs/>
                <w:color w:val="000000" w:themeColor="text1"/>
                <w:kern w:val="0"/>
                <w:sz w:val="18"/>
                <w:szCs w:val="18"/>
                <w14:textFill>
                  <w14:solidFill>
                    <w14:schemeClr w14:val="tx1"/>
                  </w14:solidFill>
                </w14:textFill>
              </w:rPr>
            </w:pPr>
          </w:p>
        </w:tc>
        <w:tc>
          <w:tcPr>
            <w:tcW w:w="1377" w:type="dxa"/>
            <w:gridSpan w:val="2"/>
            <w:vAlign w:val="center"/>
          </w:tcPr>
          <w:p w14:paraId="3D26D872">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小   计</w:t>
            </w:r>
          </w:p>
        </w:tc>
        <w:tc>
          <w:tcPr>
            <w:tcW w:w="1918" w:type="dxa"/>
            <w:vAlign w:val="center"/>
          </w:tcPr>
          <w:p w14:paraId="7B6FBCDA">
            <w:pPr>
              <w:pageBreakBefore w:val="0"/>
              <w:widowControl/>
              <w:kinsoku/>
              <w:wordWrap/>
              <w:overflowPunct/>
              <w:topLinePunct w:val="0"/>
              <w:bidi w:val="0"/>
              <w:snapToGrid/>
              <w:spacing w:line="360" w:lineRule="exact"/>
              <w:jc w:val="center"/>
              <w:textAlignment w:val="auto"/>
              <w:rPr>
                <w:rFonts w:hint="default"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cs="宋体"/>
                <w:b/>
                <w:bCs/>
                <w:color w:val="000000" w:themeColor="text1"/>
                <w:sz w:val="18"/>
                <w:szCs w:val="18"/>
                <w:lang w:val="en-US" w:eastAsia="zh-CN"/>
                <w14:textFill>
                  <w14:solidFill>
                    <w14:schemeClr w14:val="tx1"/>
                  </w14:solidFill>
                </w14:textFill>
              </w:rPr>
              <w:t>共7门</w:t>
            </w:r>
          </w:p>
        </w:tc>
        <w:tc>
          <w:tcPr>
            <w:tcW w:w="426" w:type="dxa"/>
            <w:vAlign w:val="center"/>
          </w:tcPr>
          <w:p w14:paraId="611BAFBD">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p>
        </w:tc>
        <w:tc>
          <w:tcPr>
            <w:tcW w:w="630" w:type="dxa"/>
            <w:vAlign w:val="center"/>
          </w:tcPr>
          <w:p w14:paraId="206C9FB9">
            <w:pPr>
              <w:pageBreakBefore w:val="0"/>
              <w:widowControl/>
              <w:kinsoku/>
              <w:wordWrap/>
              <w:overflowPunct/>
              <w:topLinePunct w:val="0"/>
              <w:bidi w:val="0"/>
              <w:snapToGrid/>
              <w:spacing w:line="360" w:lineRule="exact"/>
              <w:jc w:val="center"/>
              <w:textAlignment w:val="auto"/>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3</w:t>
            </w:r>
            <w:r>
              <w:rPr>
                <w:rFonts w:hint="eastAsia" w:ascii="宋体" w:hAnsi="宋体" w:cs="宋体"/>
                <w:b/>
                <w:bCs/>
                <w:color w:val="000000" w:themeColor="text1"/>
                <w:kern w:val="0"/>
                <w:sz w:val="18"/>
                <w:szCs w:val="18"/>
                <w:lang w:val="en-US" w:eastAsia="zh-CN"/>
                <w14:textFill>
                  <w14:solidFill>
                    <w14:schemeClr w14:val="tx1"/>
                  </w14:solidFill>
                </w14:textFill>
              </w:rPr>
              <w:t>52</w:t>
            </w:r>
          </w:p>
        </w:tc>
        <w:tc>
          <w:tcPr>
            <w:tcW w:w="630" w:type="dxa"/>
            <w:vAlign w:val="center"/>
          </w:tcPr>
          <w:p w14:paraId="2791AF1D">
            <w:pPr>
              <w:pageBreakBefore w:val="0"/>
              <w:widowControl/>
              <w:kinsoku/>
              <w:wordWrap/>
              <w:overflowPunct/>
              <w:topLinePunct w:val="0"/>
              <w:bidi w:val="0"/>
              <w:snapToGrid/>
              <w:spacing w:line="360" w:lineRule="exact"/>
              <w:jc w:val="center"/>
              <w:textAlignment w:val="auto"/>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2</w:t>
            </w:r>
            <w:r>
              <w:rPr>
                <w:rFonts w:hint="eastAsia" w:ascii="宋体" w:hAnsi="宋体" w:cs="宋体"/>
                <w:b/>
                <w:bCs/>
                <w:color w:val="000000" w:themeColor="text1"/>
                <w:kern w:val="0"/>
                <w:sz w:val="18"/>
                <w:szCs w:val="18"/>
                <w:lang w:val="en-US" w:eastAsia="zh-CN"/>
                <w14:textFill>
                  <w14:solidFill>
                    <w14:schemeClr w14:val="tx1"/>
                  </w14:solidFill>
                </w14:textFill>
              </w:rPr>
              <w:t>40</w:t>
            </w:r>
          </w:p>
        </w:tc>
        <w:tc>
          <w:tcPr>
            <w:tcW w:w="615" w:type="dxa"/>
            <w:vAlign w:val="center"/>
          </w:tcPr>
          <w:p w14:paraId="60220F39">
            <w:pPr>
              <w:pageBreakBefore w:val="0"/>
              <w:widowControl/>
              <w:kinsoku/>
              <w:wordWrap/>
              <w:overflowPunct/>
              <w:topLinePunct w:val="0"/>
              <w:bidi w:val="0"/>
              <w:snapToGrid/>
              <w:spacing w:line="360" w:lineRule="exact"/>
              <w:jc w:val="center"/>
              <w:textAlignment w:val="auto"/>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112</w:t>
            </w:r>
          </w:p>
        </w:tc>
        <w:tc>
          <w:tcPr>
            <w:tcW w:w="495" w:type="dxa"/>
            <w:vAlign w:val="center"/>
          </w:tcPr>
          <w:p w14:paraId="5D8FC53A">
            <w:pPr>
              <w:pageBreakBefore w:val="0"/>
              <w:widowControl/>
              <w:kinsoku/>
              <w:wordWrap/>
              <w:overflowPunct/>
              <w:topLinePunct w:val="0"/>
              <w:bidi w:val="0"/>
              <w:snapToGrid/>
              <w:spacing w:line="360" w:lineRule="exact"/>
              <w:jc w:val="center"/>
              <w:textAlignment w:val="auto"/>
              <w:rPr>
                <w:rFonts w:hint="eastAsia" w:ascii="宋体" w:hAnsi="宋体" w:eastAsia="宋体" w:cs="宋体"/>
                <w:b/>
                <w:bCs/>
                <w:color w:val="000000" w:themeColor="text1"/>
                <w:kern w:val="0"/>
                <w:sz w:val="18"/>
                <w:szCs w:val="18"/>
                <w:lang w:eastAsia="zh-CN"/>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2</w:t>
            </w:r>
            <w:r>
              <w:rPr>
                <w:rFonts w:hint="eastAsia" w:ascii="宋体" w:hAnsi="宋体" w:cs="宋体"/>
                <w:b/>
                <w:bCs/>
                <w:color w:val="000000" w:themeColor="text1"/>
                <w:kern w:val="0"/>
                <w:sz w:val="18"/>
                <w:szCs w:val="18"/>
                <w:lang w:val="en-US" w:eastAsia="zh-CN"/>
                <w14:textFill>
                  <w14:solidFill>
                    <w14:schemeClr w14:val="tx1"/>
                  </w14:solidFill>
                </w14:textFill>
              </w:rPr>
              <w:t>2</w:t>
            </w:r>
          </w:p>
        </w:tc>
        <w:tc>
          <w:tcPr>
            <w:tcW w:w="525" w:type="dxa"/>
            <w:vAlign w:val="center"/>
          </w:tcPr>
          <w:p w14:paraId="02E81FD5">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96</w:t>
            </w:r>
          </w:p>
        </w:tc>
        <w:tc>
          <w:tcPr>
            <w:tcW w:w="510" w:type="dxa"/>
            <w:vAlign w:val="center"/>
          </w:tcPr>
          <w:p w14:paraId="725C163C">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64</w:t>
            </w:r>
          </w:p>
        </w:tc>
        <w:tc>
          <w:tcPr>
            <w:tcW w:w="555" w:type="dxa"/>
            <w:vAlign w:val="center"/>
          </w:tcPr>
          <w:p w14:paraId="0B44044D">
            <w:pPr>
              <w:pageBreakBefore w:val="0"/>
              <w:widowControl/>
              <w:kinsoku/>
              <w:wordWrap/>
              <w:overflowPunct/>
              <w:topLinePunct w:val="0"/>
              <w:bidi w:val="0"/>
              <w:snapToGrid/>
              <w:spacing w:line="360" w:lineRule="exact"/>
              <w:jc w:val="center"/>
              <w:textAlignment w:val="auto"/>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128</w:t>
            </w:r>
          </w:p>
        </w:tc>
        <w:tc>
          <w:tcPr>
            <w:tcW w:w="495" w:type="dxa"/>
            <w:vAlign w:val="center"/>
          </w:tcPr>
          <w:p w14:paraId="136DE8EC">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64</w:t>
            </w:r>
          </w:p>
        </w:tc>
        <w:tc>
          <w:tcPr>
            <w:tcW w:w="510" w:type="dxa"/>
            <w:vAlign w:val="center"/>
          </w:tcPr>
          <w:p w14:paraId="317AE275">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p>
        </w:tc>
        <w:tc>
          <w:tcPr>
            <w:tcW w:w="510" w:type="dxa"/>
            <w:vAlign w:val="center"/>
          </w:tcPr>
          <w:p w14:paraId="60153125">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p>
        </w:tc>
        <w:tc>
          <w:tcPr>
            <w:tcW w:w="675" w:type="dxa"/>
            <w:vAlign w:val="center"/>
          </w:tcPr>
          <w:p w14:paraId="2E745AEA">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p>
        </w:tc>
        <w:tc>
          <w:tcPr>
            <w:tcW w:w="345" w:type="dxa"/>
            <w:vAlign w:val="center"/>
          </w:tcPr>
          <w:p w14:paraId="0AB5CF60">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p>
        </w:tc>
      </w:tr>
      <w:tr w14:paraId="03C2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4" w:type="dxa"/>
            <w:vMerge w:val="continue"/>
            <w:vAlign w:val="center"/>
          </w:tcPr>
          <w:p w14:paraId="119E8C23">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36" w:type="dxa"/>
            <w:vMerge w:val="restart"/>
            <w:vAlign w:val="center"/>
          </w:tcPr>
          <w:p w14:paraId="41185072">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专业核心课</w:t>
            </w:r>
          </w:p>
        </w:tc>
        <w:tc>
          <w:tcPr>
            <w:tcW w:w="425" w:type="dxa"/>
            <w:vAlign w:val="center"/>
          </w:tcPr>
          <w:p w14:paraId="7AA2491A">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w:t>
            </w:r>
          </w:p>
        </w:tc>
        <w:tc>
          <w:tcPr>
            <w:tcW w:w="952" w:type="dxa"/>
            <w:vAlign w:val="center"/>
          </w:tcPr>
          <w:p w14:paraId="4291F2F5">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080408Z</w:t>
            </w:r>
          </w:p>
        </w:tc>
        <w:tc>
          <w:tcPr>
            <w:tcW w:w="1918" w:type="dxa"/>
            <w:vAlign w:val="center"/>
          </w:tcPr>
          <w:p w14:paraId="30B4DD7D">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老年人生活与基础照护</w:t>
            </w:r>
            <w:r>
              <w:rPr>
                <w:rFonts w:hint="eastAsia" w:ascii="宋体" w:hAnsi="宋体" w:cs="宋体"/>
                <w:bCs/>
                <w:color w:val="000000" w:themeColor="text1"/>
                <w:sz w:val="18"/>
                <w:szCs w:val="18"/>
                <w:lang w:val="en-US" w:eastAsia="zh-CN"/>
                <w14:textFill>
                  <w14:solidFill>
                    <w14:schemeClr w14:val="tx1"/>
                  </w14:solidFill>
                </w14:textFill>
              </w:rPr>
              <w:t>实务</w:t>
            </w:r>
          </w:p>
        </w:tc>
        <w:tc>
          <w:tcPr>
            <w:tcW w:w="426" w:type="dxa"/>
            <w:vAlign w:val="center"/>
          </w:tcPr>
          <w:p w14:paraId="5A55FB4D">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B</w:t>
            </w:r>
          </w:p>
        </w:tc>
        <w:tc>
          <w:tcPr>
            <w:tcW w:w="630" w:type="dxa"/>
            <w:vAlign w:val="center"/>
          </w:tcPr>
          <w:p w14:paraId="51BAF21F">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64</w:t>
            </w:r>
          </w:p>
        </w:tc>
        <w:tc>
          <w:tcPr>
            <w:tcW w:w="630" w:type="dxa"/>
            <w:vAlign w:val="center"/>
          </w:tcPr>
          <w:p w14:paraId="68889455">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615" w:type="dxa"/>
            <w:vAlign w:val="center"/>
          </w:tcPr>
          <w:p w14:paraId="0CA3A697">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495" w:type="dxa"/>
            <w:vAlign w:val="center"/>
          </w:tcPr>
          <w:p w14:paraId="11DB1AA7">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w:t>
            </w:r>
          </w:p>
        </w:tc>
        <w:tc>
          <w:tcPr>
            <w:tcW w:w="525" w:type="dxa"/>
            <w:vAlign w:val="center"/>
          </w:tcPr>
          <w:p w14:paraId="550F0B17">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62935538">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55" w:type="dxa"/>
            <w:vAlign w:val="center"/>
          </w:tcPr>
          <w:p w14:paraId="1E331F65">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64</w:t>
            </w:r>
          </w:p>
        </w:tc>
        <w:tc>
          <w:tcPr>
            <w:tcW w:w="495" w:type="dxa"/>
            <w:vAlign w:val="center"/>
          </w:tcPr>
          <w:p w14:paraId="4E5CB6FE">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5DAD2AF8">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319C2B8C">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675" w:type="dxa"/>
            <w:vAlign w:val="center"/>
          </w:tcPr>
          <w:p w14:paraId="12A929E1">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③⑥</w:t>
            </w:r>
          </w:p>
        </w:tc>
        <w:tc>
          <w:tcPr>
            <w:tcW w:w="345" w:type="dxa"/>
            <w:vAlign w:val="center"/>
          </w:tcPr>
          <w:p w14:paraId="1941810E">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r>
      <w:tr w14:paraId="34FF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4" w:type="dxa"/>
            <w:vMerge w:val="continue"/>
            <w:vAlign w:val="center"/>
          </w:tcPr>
          <w:p w14:paraId="673CE9BA">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36" w:type="dxa"/>
            <w:vMerge w:val="continue"/>
            <w:vAlign w:val="center"/>
          </w:tcPr>
          <w:p w14:paraId="087C8E87">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25" w:type="dxa"/>
            <w:vAlign w:val="center"/>
          </w:tcPr>
          <w:p w14:paraId="29409EF1">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952" w:type="dxa"/>
            <w:vAlign w:val="center"/>
          </w:tcPr>
          <w:p w14:paraId="46BB049C">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080409Z</w:t>
            </w:r>
          </w:p>
        </w:tc>
        <w:tc>
          <w:tcPr>
            <w:tcW w:w="1918" w:type="dxa"/>
            <w:vAlign w:val="center"/>
          </w:tcPr>
          <w:p w14:paraId="1C9644F7">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sz w:val="18"/>
                <w:szCs w:val="18"/>
                <w:lang w:eastAsia="zh-CN"/>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老年</w:t>
            </w:r>
            <w:r>
              <w:rPr>
                <w:rFonts w:hint="eastAsia" w:ascii="宋体" w:hAnsi="宋体" w:cs="宋体"/>
                <w:bCs/>
                <w:color w:val="000000" w:themeColor="text1"/>
                <w:sz w:val="18"/>
                <w:szCs w:val="18"/>
                <w:lang w:val="en-US" w:eastAsia="zh-CN"/>
                <w14:textFill>
                  <w14:solidFill>
                    <w14:schemeClr w14:val="tx1"/>
                  </w14:solidFill>
                </w14:textFill>
              </w:rPr>
              <w:t>健康照护</w:t>
            </w:r>
          </w:p>
        </w:tc>
        <w:tc>
          <w:tcPr>
            <w:tcW w:w="426" w:type="dxa"/>
            <w:vAlign w:val="center"/>
          </w:tcPr>
          <w:p w14:paraId="06CD456C">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B</w:t>
            </w:r>
          </w:p>
        </w:tc>
        <w:tc>
          <w:tcPr>
            <w:tcW w:w="630" w:type="dxa"/>
            <w:vAlign w:val="center"/>
          </w:tcPr>
          <w:p w14:paraId="5EA249B9">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64</w:t>
            </w:r>
          </w:p>
        </w:tc>
        <w:tc>
          <w:tcPr>
            <w:tcW w:w="630" w:type="dxa"/>
            <w:vAlign w:val="center"/>
          </w:tcPr>
          <w:p w14:paraId="65B79901">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615" w:type="dxa"/>
            <w:vAlign w:val="center"/>
          </w:tcPr>
          <w:p w14:paraId="2A18F992">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495" w:type="dxa"/>
            <w:vAlign w:val="center"/>
          </w:tcPr>
          <w:p w14:paraId="3E5CECDD">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w:t>
            </w:r>
          </w:p>
        </w:tc>
        <w:tc>
          <w:tcPr>
            <w:tcW w:w="525" w:type="dxa"/>
            <w:vAlign w:val="center"/>
          </w:tcPr>
          <w:p w14:paraId="0A666146">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207DF888">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55" w:type="dxa"/>
            <w:vAlign w:val="center"/>
          </w:tcPr>
          <w:p w14:paraId="44FD7672">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95" w:type="dxa"/>
            <w:vAlign w:val="center"/>
          </w:tcPr>
          <w:p w14:paraId="331C7087">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64</w:t>
            </w:r>
          </w:p>
        </w:tc>
        <w:tc>
          <w:tcPr>
            <w:tcW w:w="510" w:type="dxa"/>
            <w:vAlign w:val="center"/>
          </w:tcPr>
          <w:p w14:paraId="4597CF77">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5CC284DE">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675" w:type="dxa"/>
            <w:vAlign w:val="center"/>
          </w:tcPr>
          <w:p w14:paraId="0BE620DE">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③⑥</w:t>
            </w:r>
          </w:p>
        </w:tc>
        <w:tc>
          <w:tcPr>
            <w:tcW w:w="345" w:type="dxa"/>
            <w:vAlign w:val="center"/>
          </w:tcPr>
          <w:p w14:paraId="24D3A6A3">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r>
      <w:tr w14:paraId="6FDC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27C16522">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36" w:type="dxa"/>
            <w:vMerge w:val="continue"/>
            <w:vAlign w:val="center"/>
          </w:tcPr>
          <w:p w14:paraId="00A801DF">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25" w:type="dxa"/>
            <w:shd w:val="clear" w:color="auto" w:fill="auto"/>
            <w:vAlign w:val="center"/>
          </w:tcPr>
          <w:p w14:paraId="051644FA">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952" w:type="dxa"/>
            <w:shd w:val="clear" w:color="auto" w:fill="auto"/>
            <w:vAlign w:val="center"/>
          </w:tcPr>
          <w:p w14:paraId="4D5B94D1">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080410Z</w:t>
            </w:r>
          </w:p>
        </w:tc>
        <w:tc>
          <w:tcPr>
            <w:tcW w:w="1918" w:type="dxa"/>
            <w:vAlign w:val="center"/>
          </w:tcPr>
          <w:p w14:paraId="3F36926E">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老年人心理护理</w:t>
            </w:r>
            <w:r>
              <w:rPr>
                <w:rFonts w:hint="eastAsia" w:ascii="宋体" w:hAnsi="宋体" w:cs="宋体"/>
                <w:bCs/>
                <w:color w:val="000000" w:themeColor="text1"/>
                <w:sz w:val="18"/>
                <w:szCs w:val="18"/>
                <w:lang w:val="en-US" w:eastAsia="zh-CN"/>
                <w14:textFill>
                  <w14:solidFill>
                    <w14:schemeClr w14:val="tx1"/>
                  </w14:solidFill>
                </w14:textFill>
              </w:rPr>
              <w:t>实务</w:t>
            </w:r>
          </w:p>
        </w:tc>
        <w:tc>
          <w:tcPr>
            <w:tcW w:w="426" w:type="dxa"/>
            <w:vAlign w:val="center"/>
          </w:tcPr>
          <w:p w14:paraId="11F6D4E3">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B</w:t>
            </w:r>
          </w:p>
        </w:tc>
        <w:tc>
          <w:tcPr>
            <w:tcW w:w="630" w:type="dxa"/>
            <w:vAlign w:val="center"/>
          </w:tcPr>
          <w:p w14:paraId="72DCF092">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64</w:t>
            </w:r>
          </w:p>
        </w:tc>
        <w:tc>
          <w:tcPr>
            <w:tcW w:w="630" w:type="dxa"/>
            <w:vAlign w:val="center"/>
          </w:tcPr>
          <w:p w14:paraId="4199472B">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48</w:t>
            </w:r>
          </w:p>
        </w:tc>
        <w:tc>
          <w:tcPr>
            <w:tcW w:w="615" w:type="dxa"/>
            <w:vAlign w:val="center"/>
          </w:tcPr>
          <w:p w14:paraId="2CC02429">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16</w:t>
            </w:r>
          </w:p>
        </w:tc>
        <w:tc>
          <w:tcPr>
            <w:tcW w:w="495" w:type="dxa"/>
            <w:vAlign w:val="center"/>
          </w:tcPr>
          <w:p w14:paraId="4EAC236A">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w:t>
            </w:r>
          </w:p>
        </w:tc>
        <w:tc>
          <w:tcPr>
            <w:tcW w:w="525" w:type="dxa"/>
            <w:vAlign w:val="center"/>
          </w:tcPr>
          <w:p w14:paraId="06A48A92">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4B33E12A">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55" w:type="dxa"/>
            <w:vAlign w:val="center"/>
          </w:tcPr>
          <w:p w14:paraId="2FB7ED89">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95" w:type="dxa"/>
            <w:vAlign w:val="center"/>
          </w:tcPr>
          <w:p w14:paraId="6318D323">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64</w:t>
            </w:r>
          </w:p>
        </w:tc>
        <w:tc>
          <w:tcPr>
            <w:tcW w:w="510" w:type="dxa"/>
            <w:vAlign w:val="center"/>
          </w:tcPr>
          <w:p w14:paraId="217D404A">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247B7E89">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675" w:type="dxa"/>
            <w:vAlign w:val="center"/>
          </w:tcPr>
          <w:p w14:paraId="081B7628">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①</w:t>
            </w:r>
          </w:p>
        </w:tc>
        <w:tc>
          <w:tcPr>
            <w:tcW w:w="345" w:type="dxa"/>
            <w:vAlign w:val="center"/>
          </w:tcPr>
          <w:p w14:paraId="7E2F3FF3">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r>
      <w:tr w14:paraId="6147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67455DC1">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36" w:type="dxa"/>
            <w:vMerge w:val="continue"/>
            <w:vAlign w:val="center"/>
          </w:tcPr>
          <w:p w14:paraId="35B2D2EC">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25" w:type="dxa"/>
            <w:shd w:val="clear" w:color="auto" w:fill="auto"/>
            <w:vAlign w:val="center"/>
          </w:tcPr>
          <w:p w14:paraId="79D2A2E4">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w:t>
            </w:r>
          </w:p>
        </w:tc>
        <w:tc>
          <w:tcPr>
            <w:tcW w:w="952" w:type="dxa"/>
            <w:shd w:val="clear" w:color="auto" w:fill="auto"/>
            <w:vAlign w:val="center"/>
          </w:tcPr>
          <w:p w14:paraId="021C67FD">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080411Z</w:t>
            </w:r>
          </w:p>
        </w:tc>
        <w:tc>
          <w:tcPr>
            <w:tcW w:w="1918" w:type="dxa"/>
            <w:vAlign w:val="center"/>
          </w:tcPr>
          <w:p w14:paraId="5BF11B15">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老年活动策划</w:t>
            </w:r>
            <w:r>
              <w:rPr>
                <w:rFonts w:hint="eastAsia" w:ascii="宋体" w:hAnsi="宋体" w:cs="宋体"/>
                <w:bCs/>
                <w:color w:val="000000" w:themeColor="text1"/>
                <w:sz w:val="18"/>
                <w:szCs w:val="18"/>
                <w:lang w:val="en-US" w:eastAsia="zh-CN"/>
                <w14:textFill>
                  <w14:solidFill>
                    <w14:schemeClr w14:val="tx1"/>
                  </w14:solidFill>
                </w14:textFill>
              </w:rPr>
              <w:t>与设计</w:t>
            </w:r>
          </w:p>
        </w:tc>
        <w:tc>
          <w:tcPr>
            <w:tcW w:w="426" w:type="dxa"/>
            <w:vAlign w:val="center"/>
          </w:tcPr>
          <w:p w14:paraId="1529417A">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B</w:t>
            </w:r>
          </w:p>
        </w:tc>
        <w:tc>
          <w:tcPr>
            <w:tcW w:w="630" w:type="dxa"/>
            <w:vAlign w:val="center"/>
          </w:tcPr>
          <w:p w14:paraId="6BFC84CA">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64</w:t>
            </w:r>
          </w:p>
        </w:tc>
        <w:tc>
          <w:tcPr>
            <w:tcW w:w="630" w:type="dxa"/>
            <w:vAlign w:val="center"/>
          </w:tcPr>
          <w:p w14:paraId="700072F4">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615" w:type="dxa"/>
            <w:vAlign w:val="center"/>
          </w:tcPr>
          <w:p w14:paraId="3180A998">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495" w:type="dxa"/>
            <w:vAlign w:val="center"/>
          </w:tcPr>
          <w:p w14:paraId="6F678294">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w:t>
            </w:r>
          </w:p>
        </w:tc>
        <w:tc>
          <w:tcPr>
            <w:tcW w:w="525" w:type="dxa"/>
            <w:vAlign w:val="center"/>
          </w:tcPr>
          <w:p w14:paraId="3C51575E">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687FE05E">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55" w:type="dxa"/>
            <w:vAlign w:val="center"/>
          </w:tcPr>
          <w:p w14:paraId="722EE5E0">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95" w:type="dxa"/>
            <w:vAlign w:val="center"/>
          </w:tcPr>
          <w:p w14:paraId="425C3A76">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64</w:t>
            </w:r>
          </w:p>
        </w:tc>
        <w:tc>
          <w:tcPr>
            <w:tcW w:w="510" w:type="dxa"/>
            <w:vAlign w:val="center"/>
          </w:tcPr>
          <w:p w14:paraId="32629E3F">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405E52DC">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675" w:type="dxa"/>
            <w:vAlign w:val="center"/>
          </w:tcPr>
          <w:p w14:paraId="2C2B535A">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①</w:t>
            </w:r>
          </w:p>
        </w:tc>
        <w:tc>
          <w:tcPr>
            <w:tcW w:w="345" w:type="dxa"/>
            <w:vAlign w:val="center"/>
          </w:tcPr>
          <w:p w14:paraId="1682C35C">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r>
      <w:tr w14:paraId="325B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4" w:type="dxa"/>
            <w:vMerge w:val="continue"/>
            <w:vAlign w:val="center"/>
          </w:tcPr>
          <w:p w14:paraId="001F3F05">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36" w:type="dxa"/>
            <w:vMerge w:val="continue"/>
            <w:vAlign w:val="center"/>
          </w:tcPr>
          <w:p w14:paraId="0CEE3675">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25" w:type="dxa"/>
            <w:shd w:val="clear" w:color="auto" w:fill="auto"/>
            <w:vAlign w:val="center"/>
          </w:tcPr>
          <w:p w14:paraId="63B3086A">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w:t>
            </w:r>
          </w:p>
        </w:tc>
        <w:tc>
          <w:tcPr>
            <w:tcW w:w="952" w:type="dxa"/>
            <w:shd w:val="clear" w:color="auto" w:fill="auto"/>
            <w:vAlign w:val="center"/>
          </w:tcPr>
          <w:p w14:paraId="4D090F12">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080412Z</w:t>
            </w:r>
          </w:p>
        </w:tc>
        <w:tc>
          <w:tcPr>
            <w:tcW w:w="1918" w:type="dxa"/>
            <w:vAlign w:val="center"/>
          </w:tcPr>
          <w:p w14:paraId="79D8BFFC">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养老机构智慧运营与管理</w:t>
            </w:r>
          </w:p>
        </w:tc>
        <w:tc>
          <w:tcPr>
            <w:tcW w:w="426" w:type="dxa"/>
            <w:vAlign w:val="center"/>
          </w:tcPr>
          <w:p w14:paraId="7B3C4CF7">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B</w:t>
            </w:r>
          </w:p>
        </w:tc>
        <w:tc>
          <w:tcPr>
            <w:tcW w:w="630" w:type="dxa"/>
            <w:vAlign w:val="center"/>
          </w:tcPr>
          <w:p w14:paraId="3E24E2B3">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64</w:t>
            </w:r>
          </w:p>
        </w:tc>
        <w:tc>
          <w:tcPr>
            <w:tcW w:w="630" w:type="dxa"/>
            <w:vAlign w:val="center"/>
          </w:tcPr>
          <w:p w14:paraId="28997EEC">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48</w:t>
            </w:r>
          </w:p>
        </w:tc>
        <w:tc>
          <w:tcPr>
            <w:tcW w:w="615" w:type="dxa"/>
            <w:vAlign w:val="center"/>
          </w:tcPr>
          <w:p w14:paraId="2C5A5562">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16</w:t>
            </w:r>
          </w:p>
        </w:tc>
        <w:tc>
          <w:tcPr>
            <w:tcW w:w="495" w:type="dxa"/>
            <w:vAlign w:val="center"/>
          </w:tcPr>
          <w:p w14:paraId="4FBE10B5">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w:t>
            </w:r>
          </w:p>
        </w:tc>
        <w:tc>
          <w:tcPr>
            <w:tcW w:w="525" w:type="dxa"/>
            <w:vAlign w:val="center"/>
          </w:tcPr>
          <w:p w14:paraId="50748E86">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29E3DE44">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64</w:t>
            </w:r>
          </w:p>
        </w:tc>
        <w:tc>
          <w:tcPr>
            <w:tcW w:w="555" w:type="dxa"/>
            <w:vAlign w:val="center"/>
          </w:tcPr>
          <w:p w14:paraId="145645CE">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95" w:type="dxa"/>
            <w:vAlign w:val="center"/>
          </w:tcPr>
          <w:p w14:paraId="42696CCC">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3EB5E018">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4A98B32A">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675" w:type="dxa"/>
            <w:vAlign w:val="center"/>
          </w:tcPr>
          <w:p w14:paraId="5FF27200">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③④</w:t>
            </w:r>
          </w:p>
        </w:tc>
        <w:tc>
          <w:tcPr>
            <w:tcW w:w="345" w:type="dxa"/>
            <w:vAlign w:val="center"/>
          </w:tcPr>
          <w:p w14:paraId="71DF32ED">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r>
      <w:tr w14:paraId="2B21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4" w:type="dxa"/>
            <w:vMerge w:val="continue"/>
            <w:vAlign w:val="center"/>
          </w:tcPr>
          <w:p w14:paraId="3737CB56">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36" w:type="dxa"/>
            <w:vMerge w:val="continue"/>
            <w:vAlign w:val="center"/>
          </w:tcPr>
          <w:p w14:paraId="5E0E35B3">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25" w:type="dxa"/>
            <w:shd w:val="clear" w:color="auto" w:fill="auto"/>
            <w:vAlign w:val="center"/>
          </w:tcPr>
          <w:p w14:paraId="04C5CDC6">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6</w:t>
            </w:r>
          </w:p>
        </w:tc>
        <w:tc>
          <w:tcPr>
            <w:tcW w:w="952" w:type="dxa"/>
            <w:shd w:val="clear" w:color="auto" w:fill="auto"/>
            <w:vAlign w:val="center"/>
          </w:tcPr>
          <w:p w14:paraId="37554A9C">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080413Z</w:t>
            </w:r>
          </w:p>
        </w:tc>
        <w:tc>
          <w:tcPr>
            <w:tcW w:w="1918" w:type="dxa"/>
            <w:vAlign w:val="center"/>
          </w:tcPr>
          <w:p w14:paraId="62C7C3D1">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老年人能力评估实务</w:t>
            </w:r>
          </w:p>
        </w:tc>
        <w:tc>
          <w:tcPr>
            <w:tcW w:w="426" w:type="dxa"/>
            <w:vAlign w:val="center"/>
          </w:tcPr>
          <w:p w14:paraId="4525BE11">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B</w:t>
            </w:r>
          </w:p>
        </w:tc>
        <w:tc>
          <w:tcPr>
            <w:tcW w:w="630" w:type="dxa"/>
            <w:vAlign w:val="center"/>
          </w:tcPr>
          <w:p w14:paraId="7B6A8C89">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64</w:t>
            </w:r>
          </w:p>
        </w:tc>
        <w:tc>
          <w:tcPr>
            <w:tcW w:w="630" w:type="dxa"/>
            <w:vAlign w:val="center"/>
          </w:tcPr>
          <w:p w14:paraId="49533E0D">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615" w:type="dxa"/>
            <w:vAlign w:val="center"/>
          </w:tcPr>
          <w:p w14:paraId="53ADA4A1">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495" w:type="dxa"/>
            <w:vAlign w:val="center"/>
          </w:tcPr>
          <w:p w14:paraId="1DFBE2C4">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w:t>
            </w:r>
          </w:p>
        </w:tc>
        <w:tc>
          <w:tcPr>
            <w:tcW w:w="525" w:type="dxa"/>
            <w:vAlign w:val="center"/>
          </w:tcPr>
          <w:p w14:paraId="712A0D24">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64</w:t>
            </w:r>
          </w:p>
        </w:tc>
        <w:tc>
          <w:tcPr>
            <w:tcW w:w="510" w:type="dxa"/>
            <w:vAlign w:val="center"/>
          </w:tcPr>
          <w:p w14:paraId="238EACFD">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55" w:type="dxa"/>
            <w:vAlign w:val="center"/>
          </w:tcPr>
          <w:p w14:paraId="0D8E51AF">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95" w:type="dxa"/>
            <w:vAlign w:val="center"/>
          </w:tcPr>
          <w:p w14:paraId="5FDDA180">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35587DEB">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7224134C">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675" w:type="dxa"/>
            <w:vAlign w:val="center"/>
          </w:tcPr>
          <w:p w14:paraId="1E2C8B27">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③④</w:t>
            </w:r>
          </w:p>
        </w:tc>
        <w:tc>
          <w:tcPr>
            <w:tcW w:w="345" w:type="dxa"/>
            <w:vAlign w:val="center"/>
          </w:tcPr>
          <w:p w14:paraId="76B86F18">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r>
      <w:tr w14:paraId="6110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6C18EBE4">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2863D0AE">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1377" w:type="dxa"/>
            <w:gridSpan w:val="2"/>
            <w:vAlign w:val="center"/>
          </w:tcPr>
          <w:p w14:paraId="68F8868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   计</w:t>
            </w:r>
          </w:p>
        </w:tc>
        <w:tc>
          <w:tcPr>
            <w:tcW w:w="1918" w:type="dxa"/>
            <w:vAlign w:val="center"/>
          </w:tcPr>
          <w:p w14:paraId="161FCE0C">
            <w:pPr>
              <w:pageBreakBefore w:val="0"/>
              <w:widowControl/>
              <w:kinsoku/>
              <w:wordWrap/>
              <w:overflowPunct/>
              <w:topLinePunct w:val="0"/>
              <w:bidi w:val="0"/>
              <w:snapToGrid/>
              <w:spacing w:line="360" w:lineRule="exact"/>
              <w:jc w:val="center"/>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共6门</w:t>
            </w:r>
          </w:p>
        </w:tc>
        <w:tc>
          <w:tcPr>
            <w:tcW w:w="426" w:type="dxa"/>
            <w:vAlign w:val="center"/>
          </w:tcPr>
          <w:p w14:paraId="4A21A2C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30" w:type="dxa"/>
            <w:vAlign w:val="center"/>
          </w:tcPr>
          <w:p w14:paraId="2C0B8D44">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384</w:t>
            </w:r>
          </w:p>
        </w:tc>
        <w:tc>
          <w:tcPr>
            <w:tcW w:w="630" w:type="dxa"/>
            <w:vAlign w:val="center"/>
          </w:tcPr>
          <w:p w14:paraId="0D37032B">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224</w:t>
            </w:r>
          </w:p>
        </w:tc>
        <w:tc>
          <w:tcPr>
            <w:tcW w:w="615" w:type="dxa"/>
            <w:vAlign w:val="center"/>
          </w:tcPr>
          <w:p w14:paraId="1F0401B2">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160</w:t>
            </w:r>
          </w:p>
        </w:tc>
        <w:tc>
          <w:tcPr>
            <w:tcW w:w="495" w:type="dxa"/>
            <w:vAlign w:val="center"/>
          </w:tcPr>
          <w:p w14:paraId="7FF3B6FA">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24</w:t>
            </w:r>
          </w:p>
        </w:tc>
        <w:tc>
          <w:tcPr>
            <w:tcW w:w="525" w:type="dxa"/>
            <w:vAlign w:val="center"/>
          </w:tcPr>
          <w:p w14:paraId="2A8192A7">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64</w:t>
            </w:r>
          </w:p>
        </w:tc>
        <w:tc>
          <w:tcPr>
            <w:tcW w:w="510" w:type="dxa"/>
            <w:vAlign w:val="center"/>
          </w:tcPr>
          <w:p w14:paraId="187D1216">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64</w:t>
            </w:r>
          </w:p>
        </w:tc>
        <w:tc>
          <w:tcPr>
            <w:tcW w:w="555" w:type="dxa"/>
            <w:vAlign w:val="center"/>
          </w:tcPr>
          <w:p w14:paraId="0EA5857A">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64</w:t>
            </w:r>
          </w:p>
        </w:tc>
        <w:tc>
          <w:tcPr>
            <w:tcW w:w="495" w:type="dxa"/>
            <w:vAlign w:val="center"/>
          </w:tcPr>
          <w:p w14:paraId="357036BB">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192</w:t>
            </w:r>
          </w:p>
        </w:tc>
        <w:tc>
          <w:tcPr>
            <w:tcW w:w="510" w:type="dxa"/>
            <w:vAlign w:val="center"/>
          </w:tcPr>
          <w:p w14:paraId="218F19AD">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p>
        </w:tc>
        <w:tc>
          <w:tcPr>
            <w:tcW w:w="510" w:type="dxa"/>
            <w:vAlign w:val="center"/>
          </w:tcPr>
          <w:p w14:paraId="3B45FE02">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p>
        </w:tc>
        <w:tc>
          <w:tcPr>
            <w:tcW w:w="675" w:type="dxa"/>
            <w:vAlign w:val="center"/>
          </w:tcPr>
          <w:p w14:paraId="6822558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345" w:type="dxa"/>
            <w:vAlign w:val="center"/>
          </w:tcPr>
          <w:p w14:paraId="71E7A2F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3D5E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restart"/>
            <w:vAlign w:val="center"/>
          </w:tcPr>
          <w:p w14:paraId="1625FD08">
            <w:pPr>
              <w:pageBreakBefore w:val="0"/>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restart"/>
            <w:vAlign w:val="center"/>
          </w:tcPr>
          <w:p w14:paraId="5C602A08">
            <w:pPr>
              <w:pageBreakBefore w:val="0"/>
              <w:widowControl/>
              <w:kinsoku/>
              <w:wordWrap/>
              <w:overflowPunct/>
              <w:topLinePunct w:val="0"/>
              <w:bidi w:val="0"/>
              <w:snapToGrid/>
              <w:spacing w:line="360" w:lineRule="exact"/>
              <w:jc w:val="center"/>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专业拓展课</w:t>
            </w:r>
          </w:p>
          <w:p w14:paraId="2261BE9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259C3C11">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w:t>
            </w:r>
          </w:p>
        </w:tc>
        <w:tc>
          <w:tcPr>
            <w:tcW w:w="952" w:type="dxa"/>
            <w:vAlign w:val="center"/>
          </w:tcPr>
          <w:p w14:paraId="452B360C">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080414Z</w:t>
            </w:r>
          </w:p>
        </w:tc>
        <w:tc>
          <w:tcPr>
            <w:tcW w:w="1918" w:type="dxa"/>
            <w:vAlign w:val="center"/>
          </w:tcPr>
          <w:p w14:paraId="61813063">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 w:val="0"/>
                <w:bCs/>
                <w:color w:val="000000" w:themeColor="text1"/>
                <w:sz w:val="18"/>
                <w:szCs w:val="18"/>
                <w14:textFill>
                  <w14:solidFill>
                    <w14:schemeClr w14:val="tx1"/>
                  </w14:solidFill>
                </w14:textFill>
              </w:rPr>
              <w:t>中国传统康复技术</w:t>
            </w:r>
          </w:p>
        </w:tc>
        <w:tc>
          <w:tcPr>
            <w:tcW w:w="426" w:type="dxa"/>
            <w:vAlign w:val="center"/>
          </w:tcPr>
          <w:p w14:paraId="4A832692">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B</w:t>
            </w:r>
          </w:p>
        </w:tc>
        <w:tc>
          <w:tcPr>
            <w:tcW w:w="630" w:type="dxa"/>
            <w:vAlign w:val="center"/>
          </w:tcPr>
          <w:p w14:paraId="00DD7D1F">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64</w:t>
            </w:r>
          </w:p>
        </w:tc>
        <w:tc>
          <w:tcPr>
            <w:tcW w:w="630" w:type="dxa"/>
            <w:vAlign w:val="center"/>
          </w:tcPr>
          <w:p w14:paraId="355F7DDD">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615" w:type="dxa"/>
            <w:vAlign w:val="center"/>
          </w:tcPr>
          <w:p w14:paraId="5D8B30A9">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495" w:type="dxa"/>
            <w:vAlign w:val="center"/>
          </w:tcPr>
          <w:p w14:paraId="4379A183">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w:t>
            </w:r>
          </w:p>
        </w:tc>
        <w:tc>
          <w:tcPr>
            <w:tcW w:w="525" w:type="dxa"/>
            <w:vAlign w:val="center"/>
          </w:tcPr>
          <w:p w14:paraId="488413E4">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507897A1">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55" w:type="dxa"/>
            <w:vAlign w:val="center"/>
          </w:tcPr>
          <w:p w14:paraId="550DAB0F">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64</w:t>
            </w:r>
          </w:p>
        </w:tc>
        <w:tc>
          <w:tcPr>
            <w:tcW w:w="495" w:type="dxa"/>
            <w:vAlign w:val="center"/>
          </w:tcPr>
          <w:p w14:paraId="483A75E8">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1DFBDCE6">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063B339B">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675" w:type="dxa"/>
            <w:vAlign w:val="center"/>
          </w:tcPr>
          <w:p w14:paraId="485C2837">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①</w:t>
            </w:r>
          </w:p>
        </w:tc>
        <w:tc>
          <w:tcPr>
            <w:tcW w:w="345" w:type="dxa"/>
            <w:vMerge w:val="restart"/>
            <w:vAlign w:val="center"/>
          </w:tcPr>
          <w:p w14:paraId="77E667B1">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二选一</w:t>
            </w:r>
          </w:p>
        </w:tc>
      </w:tr>
      <w:tr w14:paraId="6E7A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4" w:type="dxa"/>
            <w:vMerge w:val="continue"/>
            <w:vAlign w:val="center"/>
          </w:tcPr>
          <w:p w14:paraId="3904DEAF">
            <w:pPr>
              <w:pageBreakBefore w:val="0"/>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7A54E9F3">
            <w:pPr>
              <w:pageBreakBefore w:val="0"/>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6DD39247">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w:t>
            </w:r>
          </w:p>
        </w:tc>
        <w:tc>
          <w:tcPr>
            <w:tcW w:w="952" w:type="dxa"/>
            <w:vAlign w:val="center"/>
          </w:tcPr>
          <w:p w14:paraId="045B1E7F">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08041</w:t>
            </w:r>
            <w:r>
              <w:rPr>
                <w:rFonts w:hint="eastAsia" w:ascii="宋体" w:hAnsi="宋体" w:cs="宋体"/>
                <w:bCs/>
                <w:color w:val="000000" w:themeColor="text1"/>
                <w:sz w:val="18"/>
                <w:szCs w:val="18"/>
                <w:lang w:val="en-US" w:eastAsia="zh-CN"/>
                <w14:textFill>
                  <w14:solidFill>
                    <w14:schemeClr w14:val="tx1"/>
                  </w14:solidFill>
                </w14:textFill>
              </w:rPr>
              <w:t>5</w:t>
            </w:r>
            <w:r>
              <w:rPr>
                <w:rFonts w:hint="eastAsia" w:ascii="宋体" w:hAnsi="宋体" w:cs="宋体"/>
                <w:bCs/>
                <w:color w:val="000000" w:themeColor="text1"/>
                <w:sz w:val="18"/>
                <w:szCs w:val="18"/>
                <w14:textFill>
                  <w14:solidFill>
                    <w14:schemeClr w14:val="tx1"/>
                  </w14:solidFill>
                </w14:textFill>
              </w:rPr>
              <w:t>Z</w:t>
            </w:r>
          </w:p>
        </w:tc>
        <w:tc>
          <w:tcPr>
            <w:tcW w:w="1918" w:type="dxa"/>
            <w:vAlign w:val="center"/>
          </w:tcPr>
          <w:p w14:paraId="0AFDAD4B">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急救知识与技术</w:t>
            </w:r>
          </w:p>
        </w:tc>
        <w:tc>
          <w:tcPr>
            <w:tcW w:w="426" w:type="dxa"/>
            <w:vAlign w:val="center"/>
          </w:tcPr>
          <w:p w14:paraId="57339CB1">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B</w:t>
            </w:r>
          </w:p>
        </w:tc>
        <w:tc>
          <w:tcPr>
            <w:tcW w:w="630" w:type="dxa"/>
            <w:vAlign w:val="center"/>
          </w:tcPr>
          <w:p w14:paraId="0E65CB15">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64</w:t>
            </w:r>
          </w:p>
        </w:tc>
        <w:tc>
          <w:tcPr>
            <w:tcW w:w="630" w:type="dxa"/>
            <w:vAlign w:val="center"/>
          </w:tcPr>
          <w:p w14:paraId="0E81D5B4">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615" w:type="dxa"/>
            <w:vAlign w:val="center"/>
          </w:tcPr>
          <w:p w14:paraId="634F624E">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495" w:type="dxa"/>
            <w:vAlign w:val="center"/>
          </w:tcPr>
          <w:p w14:paraId="30EAD498">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sz w:val="18"/>
                <w:szCs w:val="18"/>
                <w:lang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4</w:t>
            </w:r>
          </w:p>
        </w:tc>
        <w:tc>
          <w:tcPr>
            <w:tcW w:w="525" w:type="dxa"/>
            <w:vAlign w:val="center"/>
          </w:tcPr>
          <w:p w14:paraId="0BCF057F">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5B19E8B0">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55" w:type="dxa"/>
            <w:vAlign w:val="center"/>
          </w:tcPr>
          <w:p w14:paraId="6EA03DC0">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64</w:t>
            </w:r>
          </w:p>
        </w:tc>
        <w:tc>
          <w:tcPr>
            <w:tcW w:w="495" w:type="dxa"/>
            <w:vAlign w:val="center"/>
          </w:tcPr>
          <w:p w14:paraId="52C725C6">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5C77818F">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6050C7F2">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675" w:type="dxa"/>
            <w:vAlign w:val="center"/>
          </w:tcPr>
          <w:p w14:paraId="43370603">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②⑥</w:t>
            </w:r>
          </w:p>
        </w:tc>
        <w:tc>
          <w:tcPr>
            <w:tcW w:w="345" w:type="dxa"/>
            <w:vMerge w:val="continue"/>
            <w:vAlign w:val="center"/>
          </w:tcPr>
          <w:p w14:paraId="1A26AD0B">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r>
      <w:tr w14:paraId="3488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4" w:type="dxa"/>
            <w:vMerge w:val="continue"/>
            <w:vAlign w:val="center"/>
          </w:tcPr>
          <w:p w14:paraId="2A1EDCB6">
            <w:pPr>
              <w:pageBreakBefore w:val="0"/>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5A8B739D">
            <w:pPr>
              <w:pageBreakBefore w:val="0"/>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496AA104">
            <w:pPr>
              <w:pageBreakBefore w:val="0"/>
              <w:widowControl/>
              <w:kinsoku/>
              <w:wordWrap/>
              <w:overflowPunct/>
              <w:topLinePunct w:val="0"/>
              <w:bidi w:val="0"/>
              <w:snapToGrid/>
              <w:spacing w:line="360" w:lineRule="exact"/>
              <w:jc w:val="center"/>
              <w:textAlignment w:val="auto"/>
              <w:rPr>
                <w:rFonts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952" w:type="dxa"/>
            <w:vAlign w:val="center"/>
          </w:tcPr>
          <w:p w14:paraId="5E958BF5">
            <w:pPr>
              <w:pageBreakBefore w:val="0"/>
              <w:widowControl/>
              <w:kinsoku/>
              <w:wordWrap/>
              <w:overflowPunct/>
              <w:topLinePunct w:val="0"/>
              <w:bidi w:val="0"/>
              <w:snapToGrid/>
              <w:spacing w:line="360" w:lineRule="exact"/>
              <w:jc w:val="center"/>
              <w:textAlignment w:val="auto"/>
              <w:rPr>
                <w:rFonts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080416Z</w:t>
            </w:r>
          </w:p>
        </w:tc>
        <w:tc>
          <w:tcPr>
            <w:tcW w:w="1918" w:type="dxa"/>
            <w:vAlign w:val="center"/>
          </w:tcPr>
          <w:p w14:paraId="636E45B4">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 w:val="0"/>
                <w:bCs/>
                <w:color w:val="000000" w:themeColor="text1"/>
                <w:sz w:val="18"/>
                <w:szCs w:val="18"/>
                <w14:textFill>
                  <w14:solidFill>
                    <w14:schemeClr w14:val="tx1"/>
                  </w14:solidFill>
                </w14:textFill>
              </w:rPr>
              <w:t>老年营养与膳食指导</w:t>
            </w:r>
          </w:p>
        </w:tc>
        <w:tc>
          <w:tcPr>
            <w:tcW w:w="426" w:type="dxa"/>
            <w:vAlign w:val="center"/>
          </w:tcPr>
          <w:p w14:paraId="5DFD042B">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B</w:t>
            </w:r>
          </w:p>
        </w:tc>
        <w:tc>
          <w:tcPr>
            <w:tcW w:w="630" w:type="dxa"/>
            <w:vAlign w:val="center"/>
          </w:tcPr>
          <w:p w14:paraId="1BD509EB">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630" w:type="dxa"/>
            <w:vAlign w:val="center"/>
          </w:tcPr>
          <w:p w14:paraId="0FEC1226">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20</w:t>
            </w:r>
          </w:p>
        </w:tc>
        <w:tc>
          <w:tcPr>
            <w:tcW w:w="615" w:type="dxa"/>
            <w:vAlign w:val="center"/>
          </w:tcPr>
          <w:p w14:paraId="5D6A90E1">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12</w:t>
            </w:r>
          </w:p>
        </w:tc>
        <w:tc>
          <w:tcPr>
            <w:tcW w:w="495" w:type="dxa"/>
            <w:vAlign w:val="center"/>
          </w:tcPr>
          <w:p w14:paraId="68C6E86C">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525" w:type="dxa"/>
            <w:vAlign w:val="center"/>
          </w:tcPr>
          <w:p w14:paraId="661B5A34">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0631D25F">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55" w:type="dxa"/>
            <w:vAlign w:val="center"/>
          </w:tcPr>
          <w:p w14:paraId="6646B858">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95" w:type="dxa"/>
            <w:vAlign w:val="center"/>
          </w:tcPr>
          <w:p w14:paraId="40A75C15">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510" w:type="dxa"/>
            <w:vAlign w:val="center"/>
          </w:tcPr>
          <w:p w14:paraId="2CF869D2">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3ADA9754">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675" w:type="dxa"/>
            <w:vAlign w:val="center"/>
          </w:tcPr>
          <w:p w14:paraId="63273DC6">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②⑥</w:t>
            </w:r>
          </w:p>
        </w:tc>
        <w:tc>
          <w:tcPr>
            <w:tcW w:w="345" w:type="dxa"/>
            <w:vMerge w:val="restart"/>
            <w:vAlign w:val="center"/>
          </w:tcPr>
          <w:p w14:paraId="1C84C876">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六选三</w:t>
            </w:r>
          </w:p>
        </w:tc>
      </w:tr>
      <w:tr w14:paraId="393A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4" w:type="dxa"/>
            <w:vMerge w:val="continue"/>
            <w:vAlign w:val="center"/>
          </w:tcPr>
          <w:p w14:paraId="1E396E7F">
            <w:pPr>
              <w:pageBreakBefore w:val="0"/>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011C908B">
            <w:pPr>
              <w:pageBreakBefore w:val="0"/>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0D0C4775">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w:t>
            </w:r>
          </w:p>
        </w:tc>
        <w:tc>
          <w:tcPr>
            <w:tcW w:w="952" w:type="dxa"/>
            <w:vAlign w:val="center"/>
          </w:tcPr>
          <w:p w14:paraId="3D15701D">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080417Z</w:t>
            </w:r>
          </w:p>
        </w:tc>
        <w:tc>
          <w:tcPr>
            <w:tcW w:w="1918" w:type="dxa"/>
            <w:vAlign w:val="center"/>
          </w:tcPr>
          <w:p w14:paraId="33070C0A">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cs="宋体"/>
                <w:b w:val="0"/>
                <w:bCs/>
                <w:color w:val="000000" w:themeColor="text1"/>
                <w:sz w:val="18"/>
                <w:szCs w:val="18"/>
                <w14:textFill>
                  <w14:solidFill>
                    <w14:schemeClr w14:val="tx1"/>
                  </w14:solidFill>
                </w14:textFill>
              </w:rPr>
              <w:t>老年康体指导</w:t>
            </w:r>
          </w:p>
        </w:tc>
        <w:tc>
          <w:tcPr>
            <w:tcW w:w="426" w:type="dxa"/>
            <w:vAlign w:val="center"/>
          </w:tcPr>
          <w:p w14:paraId="677A801F">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B</w:t>
            </w:r>
          </w:p>
        </w:tc>
        <w:tc>
          <w:tcPr>
            <w:tcW w:w="630" w:type="dxa"/>
            <w:vAlign w:val="center"/>
          </w:tcPr>
          <w:p w14:paraId="017C514D">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630" w:type="dxa"/>
            <w:vAlign w:val="center"/>
          </w:tcPr>
          <w:p w14:paraId="533649F8">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20</w:t>
            </w:r>
          </w:p>
        </w:tc>
        <w:tc>
          <w:tcPr>
            <w:tcW w:w="615" w:type="dxa"/>
            <w:vAlign w:val="center"/>
          </w:tcPr>
          <w:p w14:paraId="6D55BC67">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12</w:t>
            </w:r>
          </w:p>
        </w:tc>
        <w:tc>
          <w:tcPr>
            <w:tcW w:w="495" w:type="dxa"/>
            <w:vAlign w:val="center"/>
          </w:tcPr>
          <w:p w14:paraId="30713DF4">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525" w:type="dxa"/>
            <w:vAlign w:val="center"/>
          </w:tcPr>
          <w:p w14:paraId="570CCFE3">
            <w:pPr>
              <w:pageBreakBefore w:val="0"/>
              <w:widowControl/>
              <w:kinsoku/>
              <w:wordWrap/>
              <w:overflowPunct/>
              <w:topLinePunct w:val="0"/>
              <w:bidi w:val="0"/>
              <w:snapToGrid/>
              <w:spacing w:line="360" w:lineRule="exact"/>
              <w:jc w:val="center"/>
              <w:textAlignment w:val="auto"/>
              <w:rPr>
                <w:rFonts w:ascii="宋体" w:hAnsi="宋体" w:eastAsia="宋体" w:cs="宋体"/>
                <w:bCs/>
                <w:color w:val="000000" w:themeColor="text1"/>
                <w:kern w:val="2"/>
                <w:sz w:val="18"/>
                <w:szCs w:val="18"/>
                <w:lang w:val="en-US" w:eastAsia="zh-CN" w:bidi="ar-SA"/>
                <w14:textFill>
                  <w14:solidFill>
                    <w14:schemeClr w14:val="tx1"/>
                  </w14:solidFill>
                </w14:textFill>
              </w:rPr>
            </w:pPr>
          </w:p>
        </w:tc>
        <w:tc>
          <w:tcPr>
            <w:tcW w:w="510" w:type="dxa"/>
            <w:vAlign w:val="center"/>
          </w:tcPr>
          <w:p w14:paraId="7DEC5D46">
            <w:pPr>
              <w:pageBreakBefore w:val="0"/>
              <w:widowControl/>
              <w:kinsoku/>
              <w:wordWrap/>
              <w:overflowPunct/>
              <w:topLinePunct w:val="0"/>
              <w:bidi w:val="0"/>
              <w:snapToGrid/>
              <w:spacing w:line="360" w:lineRule="exact"/>
              <w:jc w:val="center"/>
              <w:textAlignment w:val="auto"/>
              <w:rPr>
                <w:rFonts w:ascii="宋体" w:hAnsi="宋体" w:eastAsia="宋体" w:cs="宋体"/>
                <w:bCs/>
                <w:color w:val="000000" w:themeColor="text1"/>
                <w:kern w:val="2"/>
                <w:sz w:val="18"/>
                <w:szCs w:val="18"/>
                <w:lang w:val="en-US" w:eastAsia="zh-CN" w:bidi="ar-SA"/>
                <w14:textFill>
                  <w14:solidFill>
                    <w14:schemeClr w14:val="tx1"/>
                  </w14:solidFill>
                </w14:textFill>
              </w:rPr>
            </w:pPr>
          </w:p>
        </w:tc>
        <w:tc>
          <w:tcPr>
            <w:tcW w:w="555" w:type="dxa"/>
            <w:vAlign w:val="center"/>
          </w:tcPr>
          <w:p w14:paraId="578808E3">
            <w:pPr>
              <w:pageBreakBefore w:val="0"/>
              <w:widowControl/>
              <w:kinsoku/>
              <w:wordWrap/>
              <w:overflowPunct/>
              <w:topLinePunct w:val="0"/>
              <w:bidi w:val="0"/>
              <w:snapToGrid/>
              <w:spacing w:line="360" w:lineRule="exact"/>
              <w:jc w:val="center"/>
              <w:textAlignment w:val="auto"/>
              <w:rPr>
                <w:rFonts w:ascii="宋体" w:hAnsi="宋体" w:eastAsia="宋体" w:cs="宋体"/>
                <w:bCs/>
                <w:color w:val="000000" w:themeColor="text1"/>
                <w:kern w:val="2"/>
                <w:sz w:val="18"/>
                <w:szCs w:val="18"/>
                <w:lang w:val="en-US" w:eastAsia="zh-CN" w:bidi="ar-SA"/>
                <w14:textFill>
                  <w14:solidFill>
                    <w14:schemeClr w14:val="tx1"/>
                  </w14:solidFill>
                </w14:textFill>
              </w:rPr>
            </w:pPr>
          </w:p>
        </w:tc>
        <w:tc>
          <w:tcPr>
            <w:tcW w:w="495" w:type="dxa"/>
            <w:vAlign w:val="center"/>
          </w:tcPr>
          <w:p w14:paraId="09B80CAA">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510" w:type="dxa"/>
            <w:vAlign w:val="center"/>
          </w:tcPr>
          <w:p w14:paraId="10C40AD4">
            <w:pPr>
              <w:pageBreakBefore w:val="0"/>
              <w:widowControl/>
              <w:kinsoku/>
              <w:wordWrap/>
              <w:overflowPunct/>
              <w:topLinePunct w:val="0"/>
              <w:bidi w:val="0"/>
              <w:snapToGrid/>
              <w:spacing w:line="360" w:lineRule="exact"/>
              <w:jc w:val="center"/>
              <w:textAlignment w:val="auto"/>
              <w:rPr>
                <w:rFonts w:ascii="宋体" w:hAnsi="宋体" w:eastAsia="宋体" w:cs="宋体"/>
                <w:bCs/>
                <w:color w:val="000000" w:themeColor="text1"/>
                <w:kern w:val="2"/>
                <w:sz w:val="18"/>
                <w:szCs w:val="18"/>
                <w:lang w:val="en-US" w:eastAsia="zh-CN" w:bidi="ar-SA"/>
                <w14:textFill>
                  <w14:solidFill>
                    <w14:schemeClr w14:val="tx1"/>
                  </w14:solidFill>
                </w14:textFill>
              </w:rPr>
            </w:pPr>
          </w:p>
        </w:tc>
        <w:tc>
          <w:tcPr>
            <w:tcW w:w="510" w:type="dxa"/>
            <w:vAlign w:val="center"/>
          </w:tcPr>
          <w:p w14:paraId="47D05704">
            <w:pPr>
              <w:pageBreakBefore w:val="0"/>
              <w:widowControl/>
              <w:kinsoku/>
              <w:wordWrap/>
              <w:overflowPunct/>
              <w:topLinePunct w:val="0"/>
              <w:bidi w:val="0"/>
              <w:snapToGrid/>
              <w:spacing w:line="360" w:lineRule="exact"/>
              <w:jc w:val="center"/>
              <w:textAlignment w:val="auto"/>
              <w:rPr>
                <w:rFonts w:ascii="宋体" w:hAnsi="宋体" w:eastAsia="宋体" w:cs="宋体"/>
                <w:bCs/>
                <w:color w:val="000000" w:themeColor="text1"/>
                <w:kern w:val="2"/>
                <w:sz w:val="18"/>
                <w:szCs w:val="18"/>
                <w:lang w:val="en-US" w:eastAsia="zh-CN" w:bidi="ar-SA"/>
                <w14:textFill>
                  <w14:solidFill>
                    <w14:schemeClr w14:val="tx1"/>
                  </w14:solidFill>
                </w14:textFill>
              </w:rPr>
            </w:pPr>
          </w:p>
        </w:tc>
        <w:tc>
          <w:tcPr>
            <w:tcW w:w="675" w:type="dxa"/>
            <w:vAlign w:val="center"/>
          </w:tcPr>
          <w:p w14:paraId="3EE22752">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③④</w:t>
            </w:r>
          </w:p>
        </w:tc>
        <w:tc>
          <w:tcPr>
            <w:tcW w:w="345" w:type="dxa"/>
            <w:vMerge w:val="continue"/>
            <w:vAlign w:val="center"/>
          </w:tcPr>
          <w:p w14:paraId="63F418C7">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r>
      <w:tr w14:paraId="5830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4" w:type="dxa"/>
            <w:vMerge w:val="continue"/>
            <w:vAlign w:val="center"/>
          </w:tcPr>
          <w:p w14:paraId="37F55344">
            <w:pPr>
              <w:pageBreakBefore w:val="0"/>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79358582">
            <w:pPr>
              <w:pageBreakBefore w:val="0"/>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0108C5A9">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w:t>
            </w:r>
          </w:p>
        </w:tc>
        <w:tc>
          <w:tcPr>
            <w:tcW w:w="952" w:type="dxa"/>
            <w:vAlign w:val="center"/>
          </w:tcPr>
          <w:p w14:paraId="71AB53F3">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080418Z</w:t>
            </w:r>
          </w:p>
        </w:tc>
        <w:tc>
          <w:tcPr>
            <w:tcW w:w="1918" w:type="dxa"/>
            <w:vAlign w:val="center"/>
          </w:tcPr>
          <w:p w14:paraId="2ED3D996">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老年产品营销</w:t>
            </w:r>
          </w:p>
        </w:tc>
        <w:tc>
          <w:tcPr>
            <w:tcW w:w="426" w:type="dxa"/>
            <w:vAlign w:val="center"/>
          </w:tcPr>
          <w:p w14:paraId="72BADB62">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B</w:t>
            </w:r>
          </w:p>
        </w:tc>
        <w:tc>
          <w:tcPr>
            <w:tcW w:w="630" w:type="dxa"/>
            <w:vAlign w:val="center"/>
          </w:tcPr>
          <w:p w14:paraId="501505D8">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630" w:type="dxa"/>
            <w:vAlign w:val="center"/>
          </w:tcPr>
          <w:p w14:paraId="0D7BCF28">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20</w:t>
            </w:r>
          </w:p>
        </w:tc>
        <w:tc>
          <w:tcPr>
            <w:tcW w:w="615" w:type="dxa"/>
            <w:vAlign w:val="center"/>
          </w:tcPr>
          <w:p w14:paraId="7F6B2766">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12</w:t>
            </w:r>
          </w:p>
        </w:tc>
        <w:tc>
          <w:tcPr>
            <w:tcW w:w="495" w:type="dxa"/>
            <w:vAlign w:val="center"/>
          </w:tcPr>
          <w:p w14:paraId="73818F2B">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525" w:type="dxa"/>
            <w:vAlign w:val="center"/>
          </w:tcPr>
          <w:p w14:paraId="460DF677">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33F8FBD6">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55" w:type="dxa"/>
            <w:vAlign w:val="center"/>
          </w:tcPr>
          <w:p w14:paraId="6AD4D4DF">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95" w:type="dxa"/>
            <w:vAlign w:val="center"/>
          </w:tcPr>
          <w:p w14:paraId="3E9EED9D">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510" w:type="dxa"/>
            <w:vAlign w:val="center"/>
          </w:tcPr>
          <w:p w14:paraId="723E0DE2">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1BA9E7D6">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675" w:type="dxa"/>
            <w:vAlign w:val="center"/>
          </w:tcPr>
          <w:p w14:paraId="2954A493">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②⑥</w:t>
            </w:r>
          </w:p>
        </w:tc>
        <w:tc>
          <w:tcPr>
            <w:tcW w:w="345" w:type="dxa"/>
            <w:vMerge w:val="continue"/>
            <w:vAlign w:val="center"/>
          </w:tcPr>
          <w:p w14:paraId="4B55CA96">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r>
      <w:tr w14:paraId="73ED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4" w:type="dxa"/>
            <w:vMerge w:val="continue"/>
            <w:vAlign w:val="center"/>
          </w:tcPr>
          <w:p w14:paraId="5BA7C9D3">
            <w:pPr>
              <w:pageBreakBefore w:val="0"/>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42EB5AED">
            <w:pPr>
              <w:pageBreakBefore w:val="0"/>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0D574087">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6</w:t>
            </w:r>
          </w:p>
        </w:tc>
        <w:tc>
          <w:tcPr>
            <w:tcW w:w="952" w:type="dxa"/>
            <w:vAlign w:val="center"/>
          </w:tcPr>
          <w:p w14:paraId="5244AEF2">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080419Z</w:t>
            </w:r>
          </w:p>
        </w:tc>
        <w:tc>
          <w:tcPr>
            <w:tcW w:w="1918" w:type="dxa"/>
            <w:vAlign w:val="center"/>
          </w:tcPr>
          <w:p w14:paraId="7AFB0E18">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老年用药基本知识</w:t>
            </w:r>
          </w:p>
        </w:tc>
        <w:tc>
          <w:tcPr>
            <w:tcW w:w="426" w:type="dxa"/>
            <w:vAlign w:val="center"/>
          </w:tcPr>
          <w:p w14:paraId="779E02F0">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B</w:t>
            </w:r>
          </w:p>
        </w:tc>
        <w:tc>
          <w:tcPr>
            <w:tcW w:w="630" w:type="dxa"/>
            <w:vAlign w:val="center"/>
          </w:tcPr>
          <w:p w14:paraId="151F07A0">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630" w:type="dxa"/>
            <w:vAlign w:val="center"/>
          </w:tcPr>
          <w:p w14:paraId="7C44F899">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20</w:t>
            </w:r>
          </w:p>
        </w:tc>
        <w:tc>
          <w:tcPr>
            <w:tcW w:w="615" w:type="dxa"/>
            <w:vAlign w:val="center"/>
          </w:tcPr>
          <w:p w14:paraId="6BF5CF88">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12</w:t>
            </w:r>
          </w:p>
        </w:tc>
        <w:tc>
          <w:tcPr>
            <w:tcW w:w="495" w:type="dxa"/>
            <w:vAlign w:val="center"/>
          </w:tcPr>
          <w:p w14:paraId="2B1FA32F">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525" w:type="dxa"/>
            <w:vAlign w:val="center"/>
          </w:tcPr>
          <w:p w14:paraId="69EF059B">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30CA7C8B">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55" w:type="dxa"/>
            <w:vAlign w:val="center"/>
          </w:tcPr>
          <w:p w14:paraId="47D1F81A">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95" w:type="dxa"/>
            <w:vAlign w:val="center"/>
          </w:tcPr>
          <w:p w14:paraId="6B92A122">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510" w:type="dxa"/>
            <w:vAlign w:val="center"/>
          </w:tcPr>
          <w:p w14:paraId="121152BF">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1924023E">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675" w:type="dxa"/>
            <w:vAlign w:val="center"/>
          </w:tcPr>
          <w:p w14:paraId="20A98B6F">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②⑥</w:t>
            </w:r>
          </w:p>
        </w:tc>
        <w:tc>
          <w:tcPr>
            <w:tcW w:w="345" w:type="dxa"/>
            <w:vMerge w:val="continue"/>
            <w:vAlign w:val="center"/>
          </w:tcPr>
          <w:p w14:paraId="383BC26B">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r>
      <w:tr w14:paraId="1152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427C08E7">
            <w:pPr>
              <w:pageBreakBefore w:val="0"/>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6D55A731">
            <w:pPr>
              <w:pageBreakBefore w:val="0"/>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2B248D9E">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7</w:t>
            </w:r>
          </w:p>
        </w:tc>
        <w:tc>
          <w:tcPr>
            <w:tcW w:w="952" w:type="dxa"/>
            <w:vAlign w:val="center"/>
          </w:tcPr>
          <w:p w14:paraId="5953D4F5">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080420Z</w:t>
            </w:r>
          </w:p>
        </w:tc>
        <w:tc>
          <w:tcPr>
            <w:tcW w:w="1918" w:type="dxa"/>
            <w:vAlign w:val="center"/>
          </w:tcPr>
          <w:p w14:paraId="76C3BD25">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老年人生活能力康复训练</w:t>
            </w:r>
          </w:p>
        </w:tc>
        <w:tc>
          <w:tcPr>
            <w:tcW w:w="426" w:type="dxa"/>
            <w:vAlign w:val="center"/>
          </w:tcPr>
          <w:p w14:paraId="012F968F">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B</w:t>
            </w:r>
          </w:p>
        </w:tc>
        <w:tc>
          <w:tcPr>
            <w:tcW w:w="630" w:type="dxa"/>
            <w:vAlign w:val="center"/>
          </w:tcPr>
          <w:p w14:paraId="1BB820BE">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630" w:type="dxa"/>
            <w:vAlign w:val="center"/>
          </w:tcPr>
          <w:p w14:paraId="26D99FA8">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20</w:t>
            </w:r>
          </w:p>
        </w:tc>
        <w:tc>
          <w:tcPr>
            <w:tcW w:w="615" w:type="dxa"/>
            <w:vAlign w:val="center"/>
          </w:tcPr>
          <w:p w14:paraId="146CF97A">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12</w:t>
            </w:r>
          </w:p>
        </w:tc>
        <w:tc>
          <w:tcPr>
            <w:tcW w:w="495" w:type="dxa"/>
            <w:vAlign w:val="center"/>
          </w:tcPr>
          <w:p w14:paraId="682C7645">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w:t>
            </w:r>
          </w:p>
        </w:tc>
        <w:tc>
          <w:tcPr>
            <w:tcW w:w="525" w:type="dxa"/>
            <w:vAlign w:val="center"/>
          </w:tcPr>
          <w:p w14:paraId="47481B56">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01B32CDE">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55" w:type="dxa"/>
            <w:vAlign w:val="center"/>
          </w:tcPr>
          <w:p w14:paraId="12370CB8">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p>
        </w:tc>
        <w:tc>
          <w:tcPr>
            <w:tcW w:w="495" w:type="dxa"/>
            <w:vAlign w:val="center"/>
          </w:tcPr>
          <w:p w14:paraId="6E95EA71">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510" w:type="dxa"/>
            <w:vAlign w:val="center"/>
          </w:tcPr>
          <w:p w14:paraId="31651A58">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0F451C21">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675" w:type="dxa"/>
            <w:vAlign w:val="center"/>
          </w:tcPr>
          <w:p w14:paraId="58B43E29">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②⑥</w:t>
            </w:r>
          </w:p>
        </w:tc>
        <w:tc>
          <w:tcPr>
            <w:tcW w:w="345" w:type="dxa"/>
            <w:vMerge w:val="continue"/>
            <w:vAlign w:val="center"/>
          </w:tcPr>
          <w:p w14:paraId="0D644A02">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r>
      <w:tr w14:paraId="3605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4" w:type="dxa"/>
            <w:vMerge w:val="continue"/>
            <w:vAlign w:val="center"/>
          </w:tcPr>
          <w:p w14:paraId="02851A41">
            <w:pPr>
              <w:pageBreakBefore w:val="0"/>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14AB9101">
            <w:pPr>
              <w:pageBreakBefore w:val="0"/>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1314D231">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8</w:t>
            </w:r>
          </w:p>
        </w:tc>
        <w:tc>
          <w:tcPr>
            <w:tcW w:w="952" w:type="dxa"/>
            <w:vAlign w:val="center"/>
          </w:tcPr>
          <w:p w14:paraId="4922C338">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080421Z</w:t>
            </w:r>
          </w:p>
        </w:tc>
        <w:tc>
          <w:tcPr>
            <w:tcW w:w="1918" w:type="dxa"/>
            <w:vAlign w:val="center"/>
          </w:tcPr>
          <w:p w14:paraId="271B8474">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社区居家智慧康养管理</w:t>
            </w:r>
          </w:p>
        </w:tc>
        <w:tc>
          <w:tcPr>
            <w:tcW w:w="426" w:type="dxa"/>
            <w:vAlign w:val="center"/>
          </w:tcPr>
          <w:p w14:paraId="62EDE3D5">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B</w:t>
            </w:r>
          </w:p>
        </w:tc>
        <w:tc>
          <w:tcPr>
            <w:tcW w:w="630" w:type="dxa"/>
            <w:vAlign w:val="center"/>
          </w:tcPr>
          <w:p w14:paraId="75B5295C">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630" w:type="dxa"/>
            <w:vAlign w:val="center"/>
          </w:tcPr>
          <w:p w14:paraId="45D9FDEB">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20</w:t>
            </w:r>
          </w:p>
        </w:tc>
        <w:tc>
          <w:tcPr>
            <w:tcW w:w="615" w:type="dxa"/>
            <w:vAlign w:val="center"/>
          </w:tcPr>
          <w:p w14:paraId="6AEFA1A3">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12</w:t>
            </w:r>
          </w:p>
        </w:tc>
        <w:tc>
          <w:tcPr>
            <w:tcW w:w="495" w:type="dxa"/>
            <w:vAlign w:val="center"/>
          </w:tcPr>
          <w:p w14:paraId="6661C49D">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w:t>
            </w:r>
          </w:p>
        </w:tc>
        <w:tc>
          <w:tcPr>
            <w:tcW w:w="525" w:type="dxa"/>
            <w:vAlign w:val="center"/>
          </w:tcPr>
          <w:p w14:paraId="1E72572F">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1F5AE6C4">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p>
        </w:tc>
        <w:tc>
          <w:tcPr>
            <w:tcW w:w="555" w:type="dxa"/>
            <w:vAlign w:val="center"/>
          </w:tcPr>
          <w:p w14:paraId="32B5B9B3">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95" w:type="dxa"/>
            <w:vAlign w:val="center"/>
          </w:tcPr>
          <w:p w14:paraId="680544CB">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510" w:type="dxa"/>
            <w:vAlign w:val="center"/>
          </w:tcPr>
          <w:p w14:paraId="5382E9F9">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25798D1D">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675" w:type="dxa"/>
            <w:vAlign w:val="center"/>
          </w:tcPr>
          <w:p w14:paraId="58CB2A99">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②⑥</w:t>
            </w:r>
          </w:p>
        </w:tc>
        <w:tc>
          <w:tcPr>
            <w:tcW w:w="345" w:type="dxa"/>
            <w:vMerge w:val="continue"/>
            <w:vAlign w:val="center"/>
          </w:tcPr>
          <w:p w14:paraId="7E6FE754">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r>
      <w:tr w14:paraId="1F30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5E45D000">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7BA2E937">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1377" w:type="dxa"/>
            <w:gridSpan w:val="2"/>
            <w:vAlign w:val="center"/>
          </w:tcPr>
          <w:p w14:paraId="7F518D6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   计</w:t>
            </w:r>
          </w:p>
        </w:tc>
        <w:tc>
          <w:tcPr>
            <w:tcW w:w="1918" w:type="dxa"/>
            <w:vAlign w:val="center"/>
          </w:tcPr>
          <w:p w14:paraId="5B5E4E22">
            <w:pPr>
              <w:pageBreakBefore w:val="0"/>
              <w:widowControl/>
              <w:kinsoku/>
              <w:wordWrap/>
              <w:overflowPunct/>
              <w:topLinePunct w:val="0"/>
              <w:bidi w:val="0"/>
              <w:snapToGrid/>
              <w:spacing w:line="360" w:lineRule="exact"/>
              <w:jc w:val="center"/>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共4门</w:t>
            </w:r>
          </w:p>
        </w:tc>
        <w:tc>
          <w:tcPr>
            <w:tcW w:w="426" w:type="dxa"/>
            <w:vAlign w:val="center"/>
          </w:tcPr>
          <w:p w14:paraId="1306B2D0">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p>
        </w:tc>
        <w:tc>
          <w:tcPr>
            <w:tcW w:w="630" w:type="dxa"/>
            <w:vAlign w:val="center"/>
          </w:tcPr>
          <w:p w14:paraId="29BD6D40">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160</w:t>
            </w:r>
          </w:p>
        </w:tc>
        <w:tc>
          <w:tcPr>
            <w:tcW w:w="630" w:type="dxa"/>
            <w:vAlign w:val="center"/>
          </w:tcPr>
          <w:p w14:paraId="084ECDC9">
            <w:pPr>
              <w:pageBreakBefore w:val="0"/>
              <w:widowControl/>
              <w:kinsoku/>
              <w:wordWrap/>
              <w:overflowPunct/>
              <w:topLinePunct w:val="0"/>
              <w:bidi w:val="0"/>
              <w:snapToGrid/>
              <w:spacing w:line="360" w:lineRule="exact"/>
              <w:jc w:val="center"/>
              <w:textAlignment w:val="auto"/>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92</w:t>
            </w:r>
          </w:p>
        </w:tc>
        <w:tc>
          <w:tcPr>
            <w:tcW w:w="615" w:type="dxa"/>
            <w:vAlign w:val="center"/>
          </w:tcPr>
          <w:p w14:paraId="0F123456">
            <w:pPr>
              <w:pageBreakBefore w:val="0"/>
              <w:widowControl/>
              <w:kinsoku/>
              <w:wordWrap/>
              <w:overflowPunct/>
              <w:topLinePunct w:val="0"/>
              <w:bidi w:val="0"/>
              <w:snapToGrid/>
              <w:spacing w:line="360" w:lineRule="exact"/>
              <w:jc w:val="center"/>
              <w:textAlignment w:val="auto"/>
              <w:rPr>
                <w:rFonts w:hint="eastAsia"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6</w:t>
            </w:r>
            <w:r>
              <w:rPr>
                <w:rFonts w:hint="eastAsia" w:ascii="宋体" w:hAnsi="宋体" w:cs="宋体"/>
                <w:b/>
                <w:bCs/>
                <w:color w:val="000000" w:themeColor="text1"/>
                <w:kern w:val="0"/>
                <w:sz w:val="18"/>
                <w:szCs w:val="18"/>
                <w:lang w:val="en-US" w:eastAsia="zh-CN"/>
                <w14:textFill>
                  <w14:solidFill>
                    <w14:schemeClr w14:val="tx1"/>
                  </w14:solidFill>
                </w14:textFill>
              </w:rPr>
              <w:t>8</w:t>
            </w:r>
          </w:p>
        </w:tc>
        <w:tc>
          <w:tcPr>
            <w:tcW w:w="495" w:type="dxa"/>
            <w:vAlign w:val="center"/>
          </w:tcPr>
          <w:p w14:paraId="72687A92">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10</w:t>
            </w:r>
          </w:p>
        </w:tc>
        <w:tc>
          <w:tcPr>
            <w:tcW w:w="525" w:type="dxa"/>
            <w:vAlign w:val="center"/>
          </w:tcPr>
          <w:p w14:paraId="1CC0BA18">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0</w:t>
            </w:r>
          </w:p>
        </w:tc>
        <w:tc>
          <w:tcPr>
            <w:tcW w:w="510" w:type="dxa"/>
            <w:vAlign w:val="center"/>
          </w:tcPr>
          <w:p w14:paraId="5CC1CA76">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0</w:t>
            </w:r>
          </w:p>
        </w:tc>
        <w:tc>
          <w:tcPr>
            <w:tcW w:w="555" w:type="dxa"/>
            <w:vAlign w:val="center"/>
          </w:tcPr>
          <w:p w14:paraId="5F5B6783">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64</w:t>
            </w:r>
          </w:p>
        </w:tc>
        <w:tc>
          <w:tcPr>
            <w:tcW w:w="495" w:type="dxa"/>
            <w:vAlign w:val="center"/>
          </w:tcPr>
          <w:p w14:paraId="75D0A155">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96</w:t>
            </w:r>
          </w:p>
        </w:tc>
        <w:tc>
          <w:tcPr>
            <w:tcW w:w="510" w:type="dxa"/>
            <w:vAlign w:val="center"/>
          </w:tcPr>
          <w:p w14:paraId="650C4A40">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p>
        </w:tc>
        <w:tc>
          <w:tcPr>
            <w:tcW w:w="510" w:type="dxa"/>
            <w:vAlign w:val="center"/>
          </w:tcPr>
          <w:p w14:paraId="567F7208">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p>
        </w:tc>
        <w:tc>
          <w:tcPr>
            <w:tcW w:w="675" w:type="dxa"/>
            <w:vAlign w:val="center"/>
          </w:tcPr>
          <w:p w14:paraId="5360FCD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345" w:type="dxa"/>
            <w:vAlign w:val="center"/>
          </w:tcPr>
          <w:p w14:paraId="61854DAF">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2734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64" w:type="dxa"/>
            <w:vMerge w:val="restart"/>
            <w:vAlign w:val="center"/>
          </w:tcPr>
          <w:p w14:paraId="1C503152">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restart"/>
            <w:vAlign w:val="center"/>
          </w:tcPr>
          <w:p w14:paraId="2EBDD3CE">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专业实践课</w:t>
            </w:r>
          </w:p>
        </w:tc>
        <w:tc>
          <w:tcPr>
            <w:tcW w:w="425" w:type="dxa"/>
            <w:shd w:val="clear" w:color="auto" w:fill="auto"/>
            <w:vAlign w:val="center"/>
          </w:tcPr>
          <w:p w14:paraId="17A20EB4">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w:t>
            </w:r>
          </w:p>
        </w:tc>
        <w:tc>
          <w:tcPr>
            <w:tcW w:w="952" w:type="dxa"/>
            <w:shd w:val="clear" w:color="auto" w:fill="auto"/>
            <w:vAlign w:val="center"/>
          </w:tcPr>
          <w:p w14:paraId="15E772B0">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08042</w:t>
            </w:r>
            <w:r>
              <w:rPr>
                <w:rFonts w:hint="eastAsia" w:ascii="宋体" w:hAnsi="宋体" w:cs="宋体"/>
                <w:bCs/>
                <w:color w:val="000000" w:themeColor="text1"/>
                <w:sz w:val="18"/>
                <w:szCs w:val="18"/>
                <w:lang w:val="en-US" w:eastAsia="zh-CN"/>
                <w14:textFill>
                  <w14:solidFill>
                    <w14:schemeClr w14:val="tx1"/>
                  </w14:solidFill>
                </w14:textFill>
              </w:rPr>
              <w:t>2</w:t>
            </w:r>
            <w:r>
              <w:rPr>
                <w:rFonts w:hint="eastAsia" w:ascii="宋体" w:hAnsi="宋体" w:cs="宋体"/>
                <w:bCs/>
                <w:color w:val="000000" w:themeColor="text1"/>
                <w:sz w:val="18"/>
                <w:szCs w:val="18"/>
                <w14:textFill>
                  <w14:solidFill>
                    <w14:schemeClr w14:val="tx1"/>
                  </w14:solidFill>
                </w14:textFill>
              </w:rPr>
              <w:t>Z</w:t>
            </w:r>
          </w:p>
        </w:tc>
        <w:tc>
          <w:tcPr>
            <w:tcW w:w="1918" w:type="dxa"/>
            <w:vAlign w:val="center"/>
          </w:tcPr>
          <w:p w14:paraId="16BB41A0">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毕业设计</w:t>
            </w:r>
            <w:r>
              <w:rPr>
                <w:rFonts w:hint="eastAsia" w:ascii="宋体" w:hAnsi="宋体" w:cs="宋体"/>
                <w:bCs/>
                <w:color w:val="000000" w:themeColor="text1"/>
                <w:sz w:val="18"/>
                <w:szCs w:val="18"/>
                <w:lang w:val="en-US" w:eastAsia="zh-CN"/>
                <w14:textFill>
                  <w14:solidFill>
                    <w14:schemeClr w14:val="tx1"/>
                  </w14:solidFill>
                </w14:textFill>
              </w:rPr>
              <w:t>与毕业教育</w:t>
            </w:r>
          </w:p>
        </w:tc>
        <w:tc>
          <w:tcPr>
            <w:tcW w:w="426" w:type="dxa"/>
            <w:vAlign w:val="center"/>
          </w:tcPr>
          <w:p w14:paraId="502032D7">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C</w:t>
            </w:r>
          </w:p>
        </w:tc>
        <w:tc>
          <w:tcPr>
            <w:tcW w:w="630" w:type="dxa"/>
            <w:vAlign w:val="center"/>
          </w:tcPr>
          <w:p w14:paraId="367F0E3A">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260</w:t>
            </w:r>
          </w:p>
        </w:tc>
        <w:tc>
          <w:tcPr>
            <w:tcW w:w="630" w:type="dxa"/>
            <w:vAlign w:val="center"/>
          </w:tcPr>
          <w:p w14:paraId="6940E5F5">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615" w:type="dxa"/>
            <w:vAlign w:val="center"/>
          </w:tcPr>
          <w:p w14:paraId="2ADB04ED">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260</w:t>
            </w:r>
          </w:p>
        </w:tc>
        <w:tc>
          <w:tcPr>
            <w:tcW w:w="495" w:type="dxa"/>
            <w:vAlign w:val="center"/>
          </w:tcPr>
          <w:p w14:paraId="32A9D5F3">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10</w:t>
            </w:r>
          </w:p>
        </w:tc>
        <w:tc>
          <w:tcPr>
            <w:tcW w:w="525" w:type="dxa"/>
            <w:vAlign w:val="center"/>
          </w:tcPr>
          <w:p w14:paraId="473DF0DA">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5D752DBD">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55" w:type="dxa"/>
            <w:vAlign w:val="center"/>
          </w:tcPr>
          <w:p w14:paraId="1D448A84">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95" w:type="dxa"/>
            <w:vAlign w:val="center"/>
          </w:tcPr>
          <w:p w14:paraId="64600F9C">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3B87A103">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p>
        </w:tc>
        <w:tc>
          <w:tcPr>
            <w:tcW w:w="510" w:type="dxa"/>
            <w:vAlign w:val="center"/>
          </w:tcPr>
          <w:p w14:paraId="2D616FFF">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10</w:t>
            </w:r>
            <w:r>
              <w:rPr>
                <w:rFonts w:hint="eastAsia" w:ascii="宋体" w:hAnsi="宋体" w:cs="宋体"/>
                <w:bCs/>
                <w:color w:val="000000" w:themeColor="text1"/>
                <w:sz w:val="18"/>
                <w:szCs w:val="18"/>
                <w14:textFill>
                  <w14:solidFill>
                    <w14:schemeClr w14:val="tx1"/>
                  </w14:solidFill>
                </w14:textFill>
              </w:rPr>
              <w:t>W</w:t>
            </w:r>
          </w:p>
        </w:tc>
        <w:tc>
          <w:tcPr>
            <w:tcW w:w="675" w:type="dxa"/>
            <w:vAlign w:val="center"/>
          </w:tcPr>
          <w:p w14:paraId="1ABDAE6D">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③④</w:t>
            </w:r>
          </w:p>
        </w:tc>
        <w:tc>
          <w:tcPr>
            <w:tcW w:w="345" w:type="dxa"/>
            <w:vAlign w:val="center"/>
          </w:tcPr>
          <w:p w14:paraId="6D74D308">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r>
      <w:tr w14:paraId="0A1D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64" w:type="dxa"/>
            <w:vMerge w:val="continue"/>
            <w:vAlign w:val="center"/>
          </w:tcPr>
          <w:p w14:paraId="43E744DA">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27B32A23">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shd w:val="clear" w:color="auto" w:fill="auto"/>
            <w:vAlign w:val="center"/>
          </w:tcPr>
          <w:p w14:paraId="19391131">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952" w:type="dxa"/>
            <w:shd w:val="clear" w:color="auto" w:fill="auto"/>
            <w:vAlign w:val="center"/>
          </w:tcPr>
          <w:p w14:paraId="1C74FD83">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08042</w:t>
            </w:r>
            <w:r>
              <w:rPr>
                <w:rFonts w:hint="eastAsia" w:ascii="宋体" w:hAnsi="宋体" w:cs="宋体"/>
                <w:bCs/>
                <w:color w:val="000000" w:themeColor="text1"/>
                <w:sz w:val="18"/>
                <w:szCs w:val="18"/>
                <w:lang w:val="en-US" w:eastAsia="zh-CN"/>
                <w14:textFill>
                  <w14:solidFill>
                    <w14:schemeClr w14:val="tx1"/>
                  </w14:solidFill>
                </w14:textFill>
              </w:rPr>
              <w:t>3</w:t>
            </w:r>
            <w:r>
              <w:rPr>
                <w:rFonts w:hint="eastAsia" w:ascii="宋体" w:hAnsi="宋体" w:cs="宋体"/>
                <w:bCs/>
                <w:color w:val="000000" w:themeColor="text1"/>
                <w:sz w:val="18"/>
                <w:szCs w:val="18"/>
                <w14:textFill>
                  <w14:solidFill>
                    <w14:schemeClr w14:val="tx1"/>
                  </w14:solidFill>
                </w14:textFill>
              </w:rPr>
              <w:t>Z</w:t>
            </w:r>
          </w:p>
        </w:tc>
        <w:tc>
          <w:tcPr>
            <w:tcW w:w="1918" w:type="dxa"/>
            <w:vAlign w:val="center"/>
          </w:tcPr>
          <w:p w14:paraId="0049179E">
            <w:pPr>
              <w:pageBreakBefore w:val="0"/>
              <w:widowControl/>
              <w:kinsoku/>
              <w:wordWrap/>
              <w:overflowPunct/>
              <w:topLinePunct w:val="0"/>
              <w:bidi w:val="0"/>
              <w:snapToGrid/>
              <w:spacing w:line="360" w:lineRule="exact"/>
              <w:jc w:val="center"/>
              <w:textAlignment w:val="auto"/>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岗位实习</w:t>
            </w:r>
          </w:p>
        </w:tc>
        <w:tc>
          <w:tcPr>
            <w:tcW w:w="426" w:type="dxa"/>
            <w:vAlign w:val="center"/>
          </w:tcPr>
          <w:p w14:paraId="226712D0">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C</w:t>
            </w:r>
          </w:p>
        </w:tc>
        <w:tc>
          <w:tcPr>
            <w:tcW w:w="630" w:type="dxa"/>
            <w:vAlign w:val="center"/>
          </w:tcPr>
          <w:p w14:paraId="229F1134">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676</w:t>
            </w:r>
          </w:p>
        </w:tc>
        <w:tc>
          <w:tcPr>
            <w:tcW w:w="630" w:type="dxa"/>
            <w:vAlign w:val="center"/>
          </w:tcPr>
          <w:p w14:paraId="46307D61">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615" w:type="dxa"/>
            <w:vAlign w:val="center"/>
          </w:tcPr>
          <w:p w14:paraId="78DD739D">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676</w:t>
            </w:r>
          </w:p>
        </w:tc>
        <w:tc>
          <w:tcPr>
            <w:tcW w:w="495" w:type="dxa"/>
            <w:vAlign w:val="center"/>
          </w:tcPr>
          <w:p w14:paraId="0DC491C9">
            <w:pPr>
              <w:pageBreakBefore w:val="0"/>
              <w:widowControl/>
              <w:kinsoku/>
              <w:wordWrap/>
              <w:overflowPunct/>
              <w:topLinePunct w:val="0"/>
              <w:bidi w:val="0"/>
              <w:snapToGrid/>
              <w:spacing w:line="360" w:lineRule="exact"/>
              <w:jc w:val="center"/>
              <w:textAlignment w:val="auto"/>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26</w:t>
            </w:r>
          </w:p>
        </w:tc>
        <w:tc>
          <w:tcPr>
            <w:tcW w:w="525" w:type="dxa"/>
            <w:vAlign w:val="center"/>
          </w:tcPr>
          <w:p w14:paraId="21E57C80">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4365450C">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55" w:type="dxa"/>
            <w:vAlign w:val="center"/>
          </w:tcPr>
          <w:p w14:paraId="2D5E890C">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495" w:type="dxa"/>
            <w:vAlign w:val="center"/>
          </w:tcPr>
          <w:p w14:paraId="70E68EF0">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c>
          <w:tcPr>
            <w:tcW w:w="510" w:type="dxa"/>
            <w:vAlign w:val="center"/>
          </w:tcPr>
          <w:p w14:paraId="7BFCACD4">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18W</w:t>
            </w:r>
          </w:p>
        </w:tc>
        <w:tc>
          <w:tcPr>
            <w:tcW w:w="510" w:type="dxa"/>
            <w:vAlign w:val="center"/>
          </w:tcPr>
          <w:p w14:paraId="4C04760F">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8</w:t>
            </w:r>
            <w:r>
              <w:rPr>
                <w:rFonts w:hint="eastAsia" w:ascii="宋体" w:hAnsi="宋体" w:cs="宋体"/>
                <w:bCs/>
                <w:color w:val="000000" w:themeColor="text1"/>
                <w:sz w:val="18"/>
                <w:szCs w:val="18"/>
                <w14:textFill>
                  <w14:solidFill>
                    <w14:schemeClr w14:val="tx1"/>
                  </w14:solidFill>
                </w14:textFill>
              </w:rPr>
              <w:t>w</w:t>
            </w:r>
          </w:p>
        </w:tc>
        <w:tc>
          <w:tcPr>
            <w:tcW w:w="675" w:type="dxa"/>
            <w:vAlign w:val="center"/>
          </w:tcPr>
          <w:p w14:paraId="7D8D2A90">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⑧</w:t>
            </w:r>
          </w:p>
        </w:tc>
        <w:tc>
          <w:tcPr>
            <w:tcW w:w="345" w:type="dxa"/>
            <w:vAlign w:val="center"/>
          </w:tcPr>
          <w:p w14:paraId="2886D970">
            <w:pPr>
              <w:pageBreakBefore w:val="0"/>
              <w:widowControl/>
              <w:kinsoku/>
              <w:wordWrap/>
              <w:overflowPunct/>
              <w:topLinePunct w:val="0"/>
              <w:bidi w:val="0"/>
              <w:snapToGrid/>
              <w:spacing w:line="360" w:lineRule="exact"/>
              <w:jc w:val="center"/>
              <w:textAlignment w:val="auto"/>
              <w:rPr>
                <w:rFonts w:ascii="宋体" w:hAnsi="宋体" w:cs="宋体"/>
                <w:bCs/>
                <w:color w:val="000000" w:themeColor="text1"/>
                <w:sz w:val="18"/>
                <w:szCs w:val="18"/>
                <w14:textFill>
                  <w14:solidFill>
                    <w14:schemeClr w14:val="tx1"/>
                  </w14:solidFill>
                </w14:textFill>
              </w:rPr>
            </w:pPr>
          </w:p>
        </w:tc>
      </w:tr>
      <w:tr w14:paraId="0F58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64" w:type="dxa"/>
            <w:vMerge w:val="continue"/>
            <w:vAlign w:val="center"/>
          </w:tcPr>
          <w:p w14:paraId="24E012F7">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36" w:type="dxa"/>
            <w:vMerge w:val="continue"/>
            <w:vAlign w:val="center"/>
          </w:tcPr>
          <w:p w14:paraId="73133BED">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1377" w:type="dxa"/>
            <w:gridSpan w:val="2"/>
            <w:vAlign w:val="center"/>
          </w:tcPr>
          <w:p w14:paraId="4C0208E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   计</w:t>
            </w:r>
          </w:p>
        </w:tc>
        <w:tc>
          <w:tcPr>
            <w:tcW w:w="1918" w:type="dxa"/>
            <w:vAlign w:val="center"/>
          </w:tcPr>
          <w:p w14:paraId="2D3086B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26" w:type="dxa"/>
            <w:vAlign w:val="center"/>
          </w:tcPr>
          <w:p w14:paraId="3EDE41A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30" w:type="dxa"/>
            <w:vAlign w:val="center"/>
          </w:tcPr>
          <w:p w14:paraId="49D5CA9F">
            <w:pPr>
              <w:pageBreakBefore w:val="0"/>
              <w:widowControl/>
              <w:kinsoku/>
              <w:wordWrap/>
              <w:overflowPunct/>
              <w:topLinePunct w:val="0"/>
              <w:bidi w:val="0"/>
              <w:snapToGrid/>
              <w:spacing w:line="360" w:lineRule="exact"/>
              <w:jc w:val="center"/>
              <w:textAlignment w:val="auto"/>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936</w:t>
            </w:r>
          </w:p>
        </w:tc>
        <w:tc>
          <w:tcPr>
            <w:tcW w:w="630" w:type="dxa"/>
            <w:vAlign w:val="center"/>
          </w:tcPr>
          <w:p w14:paraId="09AB6B06">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0</w:t>
            </w:r>
          </w:p>
        </w:tc>
        <w:tc>
          <w:tcPr>
            <w:tcW w:w="615" w:type="dxa"/>
            <w:vAlign w:val="center"/>
          </w:tcPr>
          <w:p w14:paraId="778B4661">
            <w:pPr>
              <w:pageBreakBefore w:val="0"/>
              <w:widowControl/>
              <w:kinsoku/>
              <w:wordWrap/>
              <w:overflowPunct/>
              <w:topLinePunct w:val="0"/>
              <w:bidi w:val="0"/>
              <w:snapToGrid/>
              <w:spacing w:line="360" w:lineRule="exact"/>
              <w:jc w:val="center"/>
              <w:textAlignment w:val="auto"/>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936</w:t>
            </w:r>
          </w:p>
        </w:tc>
        <w:tc>
          <w:tcPr>
            <w:tcW w:w="495" w:type="dxa"/>
            <w:vAlign w:val="center"/>
          </w:tcPr>
          <w:p w14:paraId="17B7F0E6">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36</w:t>
            </w:r>
          </w:p>
        </w:tc>
        <w:tc>
          <w:tcPr>
            <w:tcW w:w="525" w:type="dxa"/>
            <w:vAlign w:val="center"/>
          </w:tcPr>
          <w:p w14:paraId="36C55D4C">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0</w:t>
            </w:r>
          </w:p>
        </w:tc>
        <w:tc>
          <w:tcPr>
            <w:tcW w:w="510" w:type="dxa"/>
            <w:vAlign w:val="center"/>
          </w:tcPr>
          <w:p w14:paraId="7A8201DE">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0</w:t>
            </w:r>
          </w:p>
        </w:tc>
        <w:tc>
          <w:tcPr>
            <w:tcW w:w="555" w:type="dxa"/>
            <w:vAlign w:val="center"/>
          </w:tcPr>
          <w:p w14:paraId="5884E539">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0</w:t>
            </w:r>
          </w:p>
        </w:tc>
        <w:tc>
          <w:tcPr>
            <w:tcW w:w="495" w:type="dxa"/>
            <w:vAlign w:val="center"/>
          </w:tcPr>
          <w:p w14:paraId="1F5E7E73">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0</w:t>
            </w:r>
          </w:p>
        </w:tc>
        <w:tc>
          <w:tcPr>
            <w:tcW w:w="510" w:type="dxa"/>
            <w:vAlign w:val="center"/>
          </w:tcPr>
          <w:p w14:paraId="31E01EBE">
            <w:pPr>
              <w:pageBreakBefore w:val="0"/>
              <w:widowControl/>
              <w:kinsoku/>
              <w:wordWrap/>
              <w:overflowPunct/>
              <w:topLinePunct w:val="0"/>
              <w:bidi w:val="0"/>
              <w:snapToGrid/>
              <w:spacing w:line="360" w:lineRule="exact"/>
              <w:jc w:val="center"/>
              <w:textAlignment w:val="auto"/>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468</w:t>
            </w:r>
          </w:p>
        </w:tc>
        <w:tc>
          <w:tcPr>
            <w:tcW w:w="510" w:type="dxa"/>
            <w:vAlign w:val="center"/>
          </w:tcPr>
          <w:p w14:paraId="4F9B0C0D">
            <w:pPr>
              <w:pageBreakBefore w:val="0"/>
              <w:widowControl/>
              <w:kinsoku/>
              <w:wordWrap/>
              <w:overflowPunct/>
              <w:topLinePunct w:val="0"/>
              <w:bidi w:val="0"/>
              <w:snapToGrid/>
              <w:spacing w:line="360" w:lineRule="exact"/>
              <w:jc w:val="center"/>
              <w:textAlignment w:val="auto"/>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468</w:t>
            </w:r>
          </w:p>
        </w:tc>
        <w:tc>
          <w:tcPr>
            <w:tcW w:w="675" w:type="dxa"/>
            <w:vAlign w:val="center"/>
          </w:tcPr>
          <w:p w14:paraId="00918373">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p>
        </w:tc>
        <w:tc>
          <w:tcPr>
            <w:tcW w:w="345" w:type="dxa"/>
            <w:vAlign w:val="center"/>
          </w:tcPr>
          <w:p w14:paraId="2F7306B8">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r>
      <w:tr w14:paraId="5693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00" w:type="dxa"/>
            <w:gridSpan w:val="2"/>
            <w:vMerge w:val="restart"/>
            <w:vAlign w:val="center"/>
          </w:tcPr>
          <w:p w14:paraId="38863808">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其他</w:t>
            </w:r>
          </w:p>
        </w:tc>
        <w:tc>
          <w:tcPr>
            <w:tcW w:w="425" w:type="dxa"/>
            <w:vAlign w:val="center"/>
          </w:tcPr>
          <w:p w14:paraId="6E464F2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52" w:type="dxa"/>
            <w:vAlign w:val="center"/>
          </w:tcPr>
          <w:p w14:paraId="7F7926F1">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1918" w:type="dxa"/>
            <w:vAlign w:val="center"/>
          </w:tcPr>
          <w:p w14:paraId="459A57E7">
            <w:pPr>
              <w:pageBreakBefore w:val="0"/>
              <w:shd w:val="clear" w:color="auto" w:fill="FFFFFF"/>
              <w:kinsoku/>
              <w:wordWrap/>
              <w:overflowPunct/>
              <w:topLinePunct w:val="0"/>
              <w:bidi w:val="0"/>
              <w:adjustRightInd w:val="0"/>
              <w:snapToGrid/>
              <w:spacing w:line="360" w:lineRule="exact"/>
              <w:jc w:val="center"/>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机动、考试</w:t>
            </w:r>
          </w:p>
        </w:tc>
        <w:tc>
          <w:tcPr>
            <w:tcW w:w="426" w:type="dxa"/>
            <w:vAlign w:val="center"/>
          </w:tcPr>
          <w:p w14:paraId="70EEB55A">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30" w:type="dxa"/>
            <w:vAlign w:val="center"/>
          </w:tcPr>
          <w:p w14:paraId="7ED794A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30" w:type="dxa"/>
            <w:vAlign w:val="center"/>
          </w:tcPr>
          <w:p w14:paraId="711ACB63">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15" w:type="dxa"/>
            <w:vAlign w:val="center"/>
          </w:tcPr>
          <w:p w14:paraId="0B7D3D7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vAlign w:val="center"/>
          </w:tcPr>
          <w:p w14:paraId="796F33D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25" w:type="dxa"/>
            <w:vAlign w:val="center"/>
          </w:tcPr>
          <w:p w14:paraId="335B664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1周</w:t>
            </w:r>
          </w:p>
        </w:tc>
        <w:tc>
          <w:tcPr>
            <w:tcW w:w="510" w:type="dxa"/>
            <w:vAlign w:val="center"/>
          </w:tcPr>
          <w:p w14:paraId="031FBA92">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2周</w:t>
            </w:r>
          </w:p>
        </w:tc>
        <w:tc>
          <w:tcPr>
            <w:tcW w:w="555" w:type="dxa"/>
            <w:vAlign w:val="center"/>
          </w:tcPr>
          <w:p w14:paraId="27A7F37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2周</w:t>
            </w:r>
          </w:p>
        </w:tc>
        <w:tc>
          <w:tcPr>
            <w:tcW w:w="495" w:type="dxa"/>
            <w:vAlign w:val="center"/>
          </w:tcPr>
          <w:p w14:paraId="1D9EA72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2周</w:t>
            </w:r>
          </w:p>
        </w:tc>
        <w:tc>
          <w:tcPr>
            <w:tcW w:w="510" w:type="dxa"/>
            <w:vAlign w:val="center"/>
          </w:tcPr>
          <w:p w14:paraId="3042C7F6">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2周</w:t>
            </w:r>
          </w:p>
        </w:tc>
        <w:tc>
          <w:tcPr>
            <w:tcW w:w="510" w:type="dxa"/>
            <w:vAlign w:val="center"/>
          </w:tcPr>
          <w:p w14:paraId="52A27D8B">
            <w:pPr>
              <w:pageBreakBefore w:val="0"/>
              <w:widowControl/>
              <w:kinsoku/>
              <w:wordWrap/>
              <w:overflowPunct/>
              <w:topLinePunct w:val="0"/>
              <w:bidi w:val="0"/>
              <w:snapToGrid/>
              <w:spacing w:line="360" w:lineRule="exact"/>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2周</w:t>
            </w:r>
          </w:p>
        </w:tc>
        <w:tc>
          <w:tcPr>
            <w:tcW w:w="675" w:type="dxa"/>
            <w:vAlign w:val="center"/>
          </w:tcPr>
          <w:p w14:paraId="29ECE11A">
            <w:pPr>
              <w:pageBreakBefore w:val="0"/>
              <w:widowControl/>
              <w:kinsoku/>
              <w:wordWrap/>
              <w:overflowPunct/>
              <w:topLinePunct w:val="0"/>
              <w:bidi w:val="0"/>
              <w:snapToGrid/>
              <w:spacing w:line="360" w:lineRule="exact"/>
              <w:textAlignment w:val="auto"/>
              <w:rPr>
                <w:rFonts w:ascii="宋体" w:hAnsi="宋体" w:cs="宋体"/>
                <w:color w:val="000000" w:themeColor="text1"/>
                <w:kern w:val="0"/>
                <w:sz w:val="18"/>
                <w:szCs w:val="18"/>
                <w14:textFill>
                  <w14:solidFill>
                    <w14:schemeClr w14:val="tx1"/>
                  </w14:solidFill>
                </w14:textFill>
              </w:rPr>
            </w:pPr>
          </w:p>
        </w:tc>
        <w:tc>
          <w:tcPr>
            <w:tcW w:w="345" w:type="dxa"/>
            <w:vAlign w:val="center"/>
          </w:tcPr>
          <w:p w14:paraId="0EF08F4B">
            <w:pPr>
              <w:pageBreakBefore w:val="0"/>
              <w:widowControl/>
              <w:kinsoku/>
              <w:wordWrap/>
              <w:overflowPunct/>
              <w:topLinePunct w:val="0"/>
              <w:bidi w:val="0"/>
              <w:snapToGrid/>
              <w:spacing w:line="360" w:lineRule="exact"/>
              <w:textAlignment w:val="auto"/>
              <w:rPr>
                <w:rFonts w:ascii="宋体" w:hAnsi="宋体" w:cs="宋体"/>
                <w:color w:val="000000" w:themeColor="text1"/>
                <w:kern w:val="0"/>
                <w:sz w:val="18"/>
                <w:szCs w:val="18"/>
                <w14:textFill>
                  <w14:solidFill>
                    <w14:schemeClr w14:val="tx1"/>
                  </w14:solidFill>
                </w14:textFill>
              </w:rPr>
            </w:pPr>
          </w:p>
        </w:tc>
      </w:tr>
      <w:tr w14:paraId="1707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00" w:type="dxa"/>
            <w:gridSpan w:val="2"/>
            <w:vMerge w:val="continue"/>
            <w:vAlign w:val="center"/>
          </w:tcPr>
          <w:p w14:paraId="3D595FAE">
            <w:pPr>
              <w:pageBreakBefore w:val="0"/>
              <w:widowControl/>
              <w:kinsoku/>
              <w:wordWrap/>
              <w:overflowPunct/>
              <w:topLinePunct w:val="0"/>
              <w:bidi w:val="0"/>
              <w:snapToGrid/>
              <w:spacing w:line="360" w:lineRule="exact"/>
              <w:jc w:val="left"/>
              <w:textAlignment w:val="auto"/>
              <w:rPr>
                <w:rFonts w:ascii="宋体" w:hAnsi="宋体" w:cs="宋体"/>
                <w:color w:val="000000" w:themeColor="text1"/>
                <w:kern w:val="0"/>
                <w:sz w:val="18"/>
                <w:szCs w:val="18"/>
                <w14:textFill>
                  <w14:solidFill>
                    <w14:schemeClr w14:val="tx1"/>
                  </w14:solidFill>
                </w14:textFill>
              </w:rPr>
            </w:pPr>
          </w:p>
        </w:tc>
        <w:tc>
          <w:tcPr>
            <w:tcW w:w="425" w:type="dxa"/>
            <w:vAlign w:val="center"/>
          </w:tcPr>
          <w:p w14:paraId="2117B2E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952" w:type="dxa"/>
            <w:vAlign w:val="center"/>
          </w:tcPr>
          <w:p w14:paraId="646A2A05">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1918" w:type="dxa"/>
            <w:vAlign w:val="center"/>
          </w:tcPr>
          <w:p w14:paraId="01B8071C">
            <w:pPr>
              <w:pageBreakBefore w:val="0"/>
              <w:shd w:val="clear" w:color="auto" w:fill="FFFFFF"/>
              <w:kinsoku/>
              <w:wordWrap/>
              <w:overflowPunct/>
              <w:topLinePunct w:val="0"/>
              <w:bidi w:val="0"/>
              <w:adjustRightInd w:val="0"/>
              <w:snapToGrid/>
              <w:spacing w:line="360" w:lineRule="exact"/>
              <w:jc w:val="center"/>
              <w:textAlignment w:val="auto"/>
              <w:rPr>
                <w:rFonts w:ascii="宋体" w:hAnsi="宋体" w:cs="宋体"/>
                <w:color w:val="000000" w:themeColor="text1"/>
                <w:sz w:val="18"/>
                <w:szCs w:val="18"/>
                <w14:textFill>
                  <w14:solidFill>
                    <w14:schemeClr w14:val="tx1"/>
                  </w14:solidFill>
                </w14:textFill>
              </w:rPr>
            </w:pPr>
          </w:p>
        </w:tc>
        <w:tc>
          <w:tcPr>
            <w:tcW w:w="426" w:type="dxa"/>
            <w:vAlign w:val="center"/>
          </w:tcPr>
          <w:p w14:paraId="2438496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30" w:type="dxa"/>
            <w:vAlign w:val="center"/>
          </w:tcPr>
          <w:p w14:paraId="4950A24B">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30" w:type="dxa"/>
            <w:vAlign w:val="center"/>
          </w:tcPr>
          <w:p w14:paraId="20B9928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15" w:type="dxa"/>
            <w:vAlign w:val="center"/>
          </w:tcPr>
          <w:p w14:paraId="5E705639">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vAlign w:val="center"/>
          </w:tcPr>
          <w:p w14:paraId="21F1E333">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25" w:type="dxa"/>
            <w:vAlign w:val="center"/>
          </w:tcPr>
          <w:p w14:paraId="2DB50620">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623EDAC4">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55" w:type="dxa"/>
            <w:vAlign w:val="center"/>
          </w:tcPr>
          <w:p w14:paraId="5D17163E">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95" w:type="dxa"/>
            <w:vAlign w:val="center"/>
          </w:tcPr>
          <w:p w14:paraId="1C1E2777">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2EE67745">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510" w:type="dxa"/>
            <w:vAlign w:val="center"/>
          </w:tcPr>
          <w:p w14:paraId="662E1343">
            <w:pPr>
              <w:pageBreakBefore w:val="0"/>
              <w:widowControl/>
              <w:kinsoku/>
              <w:wordWrap/>
              <w:overflowPunct/>
              <w:topLinePunct w:val="0"/>
              <w:bidi w:val="0"/>
              <w:snapToGrid/>
              <w:spacing w:line="360" w:lineRule="exact"/>
              <w:textAlignment w:val="auto"/>
              <w:rPr>
                <w:rFonts w:ascii="宋体" w:hAnsi="宋体" w:cs="宋体"/>
                <w:color w:val="000000" w:themeColor="text1"/>
                <w:kern w:val="0"/>
                <w:sz w:val="18"/>
                <w:szCs w:val="18"/>
                <w14:textFill>
                  <w14:solidFill>
                    <w14:schemeClr w14:val="tx1"/>
                  </w14:solidFill>
                </w14:textFill>
              </w:rPr>
            </w:pPr>
          </w:p>
        </w:tc>
        <w:tc>
          <w:tcPr>
            <w:tcW w:w="675" w:type="dxa"/>
            <w:vAlign w:val="center"/>
          </w:tcPr>
          <w:p w14:paraId="64ECE945">
            <w:pPr>
              <w:pageBreakBefore w:val="0"/>
              <w:widowControl/>
              <w:kinsoku/>
              <w:wordWrap/>
              <w:overflowPunct/>
              <w:topLinePunct w:val="0"/>
              <w:bidi w:val="0"/>
              <w:snapToGrid/>
              <w:spacing w:line="360" w:lineRule="exact"/>
              <w:textAlignment w:val="auto"/>
              <w:rPr>
                <w:rFonts w:ascii="宋体" w:hAnsi="宋体" w:cs="宋体"/>
                <w:color w:val="000000" w:themeColor="text1"/>
                <w:kern w:val="0"/>
                <w:sz w:val="18"/>
                <w:szCs w:val="18"/>
                <w14:textFill>
                  <w14:solidFill>
                    <w14:schemeClr w14:val="tx1"/>
                  </w14:solidFill>
                </w14:textFill>
              </w:rPr>
            </w:pPr>
          </w:p>
        </w:tc>
        <w:tc>
          <w:tcPr>
            <w:tcW w:w="345" w:type="dxa"/>
            <w:vAlign w:val="center"/>
          </w:tcPr>
          <w:p w14:paraId="3A7971C8">
            <w:pPr>
              <w:pageBreakBefore w:val="0"/>
              <w:widowControl/>
              <w:kinsoku/>
              <w:wordWrap/>
              <w:overflowPunct/>
              <w:topLinePunct w:val="0"/>
              <w:bidi w:val="0"/>
              <w:snapToGrid/>
              <w:spacing w:line="360" w:lineRule="exact"/>
              <w:textAlignment w:val="auto"/>
              <w:rPr>
                <w:rFonts w:ascii="宋体" w:hAnsi="宋体" w:cs="宋体"/>
                <w:color w:val="000000" w:themeColor="text1"/>
                <w:kern w:val="0"/>
                <w:sz w:val="18"/>
                <w:szCs w:val="18"/>
                <w14:textFill>
                  <w14:solidFill>
                    <w14:schemeClr w14:val="tx1"/>
                  </w14:solidFill>
                </w14:textFill>
              </w:rPr>
            </w:pPr>
          </w:p>
        </w:tc>
      </w:tr>
      <w:tr w14:paraId="750D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177" w:type="dxa"/>
            <w:gridSpan w:val="4"/>
            <w:vAlign w:val="center"/>
          </w:tcPr>
          <w:p w14:paraId="33414063">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   计</w:t>
            </w:r>
          </w:p>
        </w:tc>
        <w:tc>
          <w:tcPr>
            <w:tcW w:w="1918" w:type="dxa"/>
            <w:vAlign w:val="center"/>
          </w:tcPr>
          <w:p w14:paraId="78506DEA">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426" w:type="dxa"/>
            <w:vAlign w:val="center"/>
          </w:tcPr>
          <w:p w14:paraId="15828F1D">
            <w:pPr>
              <w:pageBreakBefore w:val="0"/>
              <w:widowControl/>
              <w:kinsoku/>
              <w:wordWrap/>
              <w:overflowPunct/>
              <w:topLinePunct w:val="0"/>
              <w:bidi w:val="0"/>
              <w:snapToGrid/>
              <w:spacing w:line="360" w:lineRule="exact"/>
              <w:jc w:val="center"/>
              <w:textAlignment w:val="auto"/>
              <w:rPr>
                <w:rFonts w:ascii="宋体" w:hAnsi="宋体" w:cs="宋体"/>
                <w:color w:val="000000" w:themeColor="text1"/>
                <w:kern w:val="0"/>
                <w:sz w:val="18"/>
                <w:szCs w:val="18"/>
                <w14:textFill>
                  <w14:solidFill>
                    <w14:schemeClr w14:val="tx1"/>
                  </w14:solidFill>
                </w14:textFill>
              </w:rPr>
            </w:pPr>
          </w:p>
        </w:tc>
        <w:tc>
          <w:tcPr>
            <w:tcW w:w="630" w:type="dxa"/>
            <w:vAlign w:val="center"/>
          </w:tcPr>
          <w:p w14:paraId="1A79A8D8">
            <w:pPr>
              <w:pageBreakBefore w:val="0"/>
              <w:widowControl/>
              <w:kinsoku/>
              <w:wordWrap/>
              <w:overflowPunct/>
              <w:topLinePunct w:val="0"/>
              <w:bidi w:val="0"/>
              <w:snapToGrid/>
              <w:spacing w:line="360" w:lineRule="exact"/>
              <w:jc w:val="center"/>
              <w:textAlignment w:val="auto"/>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2728</w:t>
            </w:r>
          </w:p>
        </w:tc>
        <w:tc>
          <w:tcPr>
            <w:tcW w:w="630" w:type="dxa"/>
            <w:vAlign w:val="center"/>
          </w:tcPr>
          <w:p w14:paraId="003DB108">
            <w:pPr>
              <w:pageBreakBefore w:val="0"/>
              <w:widowControl/>
              <w:kinsoku/>
              <w:wordWrap/>
              <w:overflowPunct/>
              <w:topLinePunct w:val="0"/>
              <w:bidi w:val="0"/>
              <w:snapToGrid/>
              <w:spacing w:line="360" w:lineRule="exact"/>
              <w:jc w:val="center"/>
              <w:textAlignment w:val="auto"/>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11</w:t>
            </w:r>
            <w:r>
              <w:rPr>
                <w:rFonts w:hint="eastAsia" w:ascii="宋体" w:hAnsi="宋体" w:cs="宋体"/>
                <w:b/>
                <w:bCs/>
                <w:color w:val="000000" w:themeColor="text1"/>
                <w:kern w:val="0"/>
                <w:sz w:val="18"/>
                <w:szCs w:val="18"/>
                <w:lang w:val="en-US" w:eastAsia="zh-CN"/>
                <w14:textFill>
                  <w14:solidFill>
                    <w14:schemeClr w14:val="tx1"/>
                  </w14:solidFill>
                </w14:textFill>
              </w:rPr>
              <w:t>18</w:t>
            </w:r>
          </w:p>
        </w:tc>
        <w:tc>
          <w:tcPr>
            <w:tcW w:w="615" w:type="dxa"/>
            <w:vAlign w:val="center"/>
          </w:tcPr>
          <w:p w14:paraId="240A998B">
            <w:pPr>
              <w:pageBreakBefore w:val="0"/>
              <w:widowControl/>
              <w:kinsoku/>
              <w:wordWrap/>
              <w:overflowPunct/>
              <w:topLinePunct w:val="0"/>
              <w:bidi w:val="0"/>
              <w:snapToGrid/>
              <w:spacing w:line="360" w:lineRule="exact"/>
              <w:jc w:val="center"/>
              <w:textAlignment w:val="auto"/>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1610</w:t>
            </w:r>
          </w:p>
        </w:tc>
        <w:tc>
          <w:tcPr>
            <w:tcW w:w="495" w:type="dxa"/>
            <w:vAlign w:val="center"/>
          </w:tcPr>
          <w:p w14:paraId="04E30496">
            <w:pPr>
              <w:pageBreakBefore w:val="0"/>
              <w:widowControl/>
              <w:kinsoku/>
              <w:wordWrap/>
              <w:overflowPunct/>
              <w:topLinePunct w:val="0"/>
              <w:bidi w:val="0"/>
              <w:snapToGrid/>
              <w:spacing w:line="360" w:lineRule="exact"/>
              <w:jc w:val="center"/>
              <w:textAlignment w:val="auto"/>
              <w:rPr>
                <w:rFonts w:hint="eastAsia"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14</w:t>
            </w:r>
            <w:r>
              <w:rPr>
                <w:rFonts w:hint="eastAsia" w:ascii="宋体" w:hAnsi="宋体" w:cs="宋体"/>
                <w:b/>
                <w:bCs/>
                <w:color w:val="000000" w:themeColor="text1"/>
                <w:kern w:val="0"/>
                <w:sz w:val="18"/>
                <w:szCs w:val="18"/>
                <w:lang w:val="en-US" w:eastAsia="zh-CN"/>
                <w14:textFill>
                  <w14:solidFill>
                    <w14:schemeClr w14:val="tx1"/>
                  </w14:solidFill>
                </w14:textFill>
              </w:rPr>
              <w:t>4</w:t>
            </w:r>
          </w:p>
        </w:tc>
        <w:tc>
          <w:tcPr>
            <w:tcW w:w="525" w:type="dxa"/>
            <w:vAlign w:val="center"/>
          </w:tcPr>
          <w:p w14:paraId="6661228C">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560</w:t>
            </w:r>
          </w:p>
        </w:tc>
        <w:tc>
          <w:tcPr>
            <w:tcW w:w="510" w:type="dxa"/>
            <w:vAlign w:val="center"/>
          </w:tcPr>
          <w:p w14:paraId="608B37A9">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444</w:t>
            </w:r>
            <w:bookmarkStart w:id="48" w:name="_GoBack"/>
            <w:bookmarkEnd w:id="48"/>
          </w:p>
        </w:tc>
        <w:tc>
          <w:tcPr>
            <w:tcW w:w="555" w:type="dxa"/>
            <w:vAlign w:val="center"/>
          </w:tcPr>
          <w:p w14:paraId="0ACF0C4D">
            <w:pPr>
              <w:pageBreakBefore w:val="0"/>
              <w:widowControl/>
              <w:kinsoku/>
              <w:wordWrap/>
              <w:overflowPunct/>
              <w:topLinePunct w:val="0"/>
              <w:bidi w:val="0"/>
              <w:snapToGrid/>
              <w:spacing w:line="360" w:lineRule="exact"/>
              <w:jc w:val="center"/>
              <w:textAlignment w:val="auto"/>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3</w:t>
            </w:r>
            <w:r>
              <w:rPr>
                <w:rFonts w:hint="eastAsia" w:ascii="宋体" w:hAnsi="宋体" w:cs="宋体"/>
                <w:b/>
                <w:bCs/>
                <w:color w:val="000000" w:themeColor="text1"/>
                <w:kern w:val="0"/>
                <w:sz w:val="18"/>
                <w:szCs w:val="18"/>
                <w:lang w:val="en-US" w:eastAsia="zh-CN"/>
                <w14:textFill>
                  <w14:solidFill>
                    <w14:schemeClr w14:val="tx1"/>
                  </w14:solidFill>
                </w14:textFill>
              </w:rPr>
              <w:t>96</w:t>
            </w:r>
          </w:p>
        </w:tc>
        <w:tc>
          <w:tcPr>
            <w:tcW w:w="495" w:type="dxa"/>
            <w:vAlign w:val="center"/>
          </w:tcPr>
          <w:p w14:paraId="35202EB5">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392</w:t>
            </w:r>
          </w:p>
        </w:tc>
        <w:tc>
          <w:tcPr>
            <w:tcW w:w="510" w:type="dxa"/>
            <w:vAlign w:val="center"/>
          </w:tcPr>
          <w:p w14:paraId="2C86457E">
            <w:pPr>
              <w:pageBreakBefore w:val="0"/>
              <w:widowControl/>
              <w:kinsoku/>
              <w:wordWrap/>
              <w:overflowPunct/>
              <w:topLinePunct w:val="0"/>
              <w:bidi w:val="0"/>
              <w:snapToGrid/>
              <w:spacing w:line="360" w:lineRule="exact"/>
              <w:jc w:val="center"/>
              <w:textAlignment w:val="auto"/>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468</w:t>
            </w:r>
          </w:p>
        </w:tc>
        <w:tc>
          <w:tcPr>
            <w:tcW w:w="510" w:type="dxa"/>
            <w:vAlign w:val="center"/>
          </w:tcPr>
          <w:p w14:paraId="7F135E6F">
            <w:pPr>
              <w:pageBreakBefore w:val="0"/>
              <w:widowControl/>
              <w:kinsoku/>
              <w:wordWrap/>
              <w:overflowPunct/>
              <w:topLinePunct w:val="0"/>
              <w:bidi w:val="0"/>
              <w:snapToGrid/>
              <w:spacing w:line="360" w:lineRule="exact"/>
              <w:jc w:val="center"/>
              <w:textAlignment w:val="auto"/>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468</w:t>
            </w:r>
          </w:p>
        </w:tc>
        <w:tc>
          <w:tcPr>
            <w:tcW w:w="675" w:type="dxa"/>
            <w:vAlign w:val="center"/>
          </w:tcPr>
          <w:p w14:paraId="133DDBF4">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p>
        </w:tc>
        <w:tc>
          <w:tcPr>
            <w:tcW w:w="345" w:type="dxa"/>
            <w:vAlign w:val="center"/>
          </w:tcPr>
          <w:p w14:paraId="6F748DC0">
            <w:pPr>
              <w:pageBreakBefore w:val="0"/>
              <w:widowControl/>
              <w:kinsoku/>
              <w:wordWrap/>
              <w:overflowPunct/>
              <w:topLinePunct w:val="0"/>
              <w:bidi w:val="0"/>
              <w:snapToGrid/>
              <w:spacing w:line="360" w:lineRule="exact"/>
              <w:jc w:val="center"/>
              <w:textAlignment w:val="auto"/>
              <w:rPr>
                <w:rFonts w:ascii="宋体" w:hAnsi="宋体" w:cs="宋体"/>
                <w:b/>
                <w:bCs/>
                <w:color w:val="000000" w:themeColor="text1"/>
                <w:kern w:val="0"/>
                <w:sz w:val="18"/>
                <w:szCs w:val="18"/>
                <w14:textFill>
                  <w14:solidFill>
                    <w14:schemeClr w14:val="tx1"/>
                  </w14:solidFill>
                </w14:textFill>
              </w:rPr>
            </w:pPr>
          </w:p>
        </w:tc>
      </w:tr>
    </w:tbl>
    <w:p w14:paraId="60E4A399">
      <w:pPr>
        <w:pageBreakBefore w:val="0"/>
        <w:kinsoku/>
        <w:wordWrap/>
        <w:overflowPunct/>
        <w:topLinePunct w:val="0"/>
        <w:bidi w:val="0"/>
        <w:snapToGrid/>
        <w:spacing w:line="360" w:lineRule="exact"/>
        <w:ind w:firstLine="420" w:firstLineChars="200"/>
        <w:textAlignment w:val="auto"/>
        <w:rPr>
          <w:rFonts w:ascii="宋体" w:hAnsi="宋体"/>
          <w:color w:val="000000"/>
          <w:szCs w:val="21"/>
        </w:rPr>
      </w:pPr>
      <w:r>
        <w:rPr>
          <w:rFonts w:hint="eastAsia" w:ascii="宋体" w:hAnsi="宋体"/>
          <w:color w:val="000000"/>
          <w:szCs w:val="21"/>
        </w:rPr>
        <w:t>1.考核方式：①闭卷，②开卷，③技能测试，④面试（含答辩、口试、表演等），⑤小论文，⑥报告（含读书报告、调查报告、实习报告等），⑦项目（方案）设计，⑧课程实践，⑨文献综述，⑩其它。</w:t>
      </w:r>
    </w:p>
    <w:p w14:paraId="7AFCCC59">
      <w:pPr>
        <w:pageBreakBefore w:val="0"/>
        <w:kinsoku/>
        <w:wordWrap/>
        <w:overflowPunct/>
        <w:topLinePunct w:val="0"/>
        <w:bidi w:val="0"/>
        <w:snapToGrid/>
        <w:spacing w:line="360" w:lineRule="exact"/>
        <w:ind w:firstLine="420" w:firstLineChars="200"/>
        <w:textAlignment w:val="auto"/>
        <w:rPr>
          <w:rFonts w:ascii="宋体" w:hAnsi="宋体"/>
          <w:color w:val="000000"/>
          <w:szCs w:val="21"/>
        </w:rPr>
      </w:pPr>
      <w:r>
        <w:rPr>
          <w:rFonts w:hint="eastAsia" w:ascii="宋体" w:hAnsi="宋体"/>
          <w:color w:val="000000"/>
          <w:szCs w:val="21"/>
        </w:rPr>
        <w:t>2.课程性质：公共必修课/公共选修课/专业必修课/专业选修课。</w:t>
      </w:r>
    </w:p>
    <w:p w14:paraId="1E36BF94">
      <w:pPr>
        <w:pageBreakBefore w:val="0"/>
        <w:kinsoku/>
        <w:wordWrap/>
        <w:overflowPunct/>
        <w:topLinePunct w:val="0"/>
        <w:bidi w:val="0"/>
        <w:snapToGrid/>
        <w:spacing w:line="360" w:lineRule="exact"/>
        <w:ind w:firstLine="420" w:firstLineChars="200"/>
        <w:textAlignment w:val="auto"/>
        <w:rPr>
          <w:rFonts w:ascii="宋体" w:hAnsi="宋体"/>
          <w:color w:val="FF0000"/>
          <w:szCs w:val="21"/>
        </w:rPr>
      </w:pPr>
      <w:r>
        <w:rPr>
          <w:rFonts w:hint="eastAsia" w:ascii="宋体" w:hAnsi="宋体"/>
          <w:color w:val="000000"/>
          <w:szCs w:val="21"/>
        </w:rPr>
        <w:t>3.课程类型：A类（纯理论课）/B类（（理论＋实践）课）/ C类（纯实践课）。</w:t>
      </w:r>
    </w:p>
    <w:p w14:paraId="57DEA630">
      <w:pPr>
        <w:pageBreakBefore w:val="0"/>
        <w:kinsoku/>
        <w:wordWrap/>
        <w:overflowPunct/>
        <w:topLinePunct w:val="0"/>
        <w:bidi w:val="0"/>
        <w:snapToGrid/>
        <w:spacing w:line="360" w:lineRule="exact"/>
        <w:ind w:firstLine="420" w:firstLineChars="200"/>
        <w:textAlignment w:val="auto"/>
        <w:rPr>
          <w:rFonts w:ascii="宋体" w:hAnsi="宋体"/>
          <w:szCs w:val="21"/>
        </w:rPr>
      </w:pPr>
      <w:r>
        <w:rPr>
          <w:rFonts w:hint="eastAsia" w:ascii="宋体" w:hAnsi="宋体"/>
          <w:szCs w:val="21"/>
        </w:rPr>
        <w:t>4.实行多学期分段制的可以对该表进行适当改造,体现出多学期。</w:t>
      </w:r>
    </w:p>
    <w:p w14:paraId="3E32A4D8">
      <w:pPr>
        <w:pStyle w:val="2"/>
        <w:pageBreakBefore w:val="0"/>
        <w:kinsoku/>
        <w:wordWrap/>
        <w:overflowPunct/>
        <w:topLinePunct w:val="0"/>
        <w:bidi w:val="0"/>
        <w:snapToGrid/>
        <w:spacing w:after="0" w:line="360" w:lineRule="exact"/>
        <w:ind w:firstLine="420" w:firstLineChars="200"/>
        <w:textAlignment w:val="auto"/>
        <w:rPr>
          <w:rFonts w:hint="eastAsia" w:ascii="宋体" w:hAnsi="宋体"/>
          <w:color w:val="000000"/>
          <w:szCs w:val="21"/>
        </w:rPr>
      </w:pPr>
      <w:r>
        <w:rPr>
          <w:rFonts w:hint="eastAsia" w:ascii="宋体" w:hAnsi="宋体"/>
          <w:color w:val="000000"/>
          <w:szCs w:val="21"/>
        </w:rPr>
        <w:t>5.公共选修课从《公共选修课清单》中任选，不低于4门。</w:t>
      </w:r>
    </w:p>
    <w:p w14:paraId="72E7BE61">
      <w:pPr>
        <w:pStyle w:val="2"/>
        <w:pageBreakBefore w:val="0"/>
        <w:kinsoku/>
        <w:wordWrap/>
        <w:overflowPunct/>
        <w:topLinePunct w:val="0"/>
        <w:bidi w:val="0"/>
        <w:snapToGrid/>
        <w:spacing w:after="0" w:line="360" w:lineRule="exact"/>
        <w:ind w:firstLine="420" w:firstLineChars="200"/>
        <w:textAlignment w:val="auto"/>
        <w:rPr>
          <w:rFonts w:hint="default" w:ascii="宋体" w:hAnsi="宋体" w:eastAsia="宋体"/>
          <w:color w:val="000000"/>
          <w:szCs w:val="21"/>
          <w:lang w:val="en-US" w:eastAsia="zh-CN"/>
        </w:rPr>
      </w:pPr>
      <w:r>
        <w:rPr>
          <w:rFonts w:hint="eastAsia" w:ascii="宋体" w:hAnsi="宋体"/>
          <w:color w:val="000000"/>
          <w:szCs w:val="21"/>
          <w:lang w:val="en-US" w:eastAsia="zh-CN"/>
        </w:rPr>
        <w:t>6.专业拓展课8门选4门，或10学分。</w:t>
      </w:r>
    </w:p>
    <w:p w14:paraId="45A357DF">
      <w:pPr>
        <w:pageBreakBefore w:val="0"/>
        <w:kinsoku/>
        <w:wordWrap/>
        <w:overflowPunct/>
        <w:topLinePunct w:val="0"/>
        <w:bidi w:val="0"/>
        <w:snapToGrid/>
        <w:spacing w:line="360" w:lineRule="exact"/>
        <w:ind w:left="420" w:leftChars="200"/>
        <w:textAlignment w:val="auto"/>
        <w:rPr>
          <w:rFonts w:hint="eastAsia"/>
          <w:b/>
          <w:bCs/>
        </w:rPr>
      </w:pPr>
    </w:p>
    <w:p w14:paraId="1A372AF0">
      <w:pPr>
        <w:pageBreakBefore w:val="0"/>
        <w:kinsoku/>
        <w:wordWrap/>
        <w:overflowPunct/>
        <w:topLinePunct w:val="0"/>
        <w:bidi w:val="0"/>
        <w:snapToGrid/>
        <w:spacing w:line="360" w:lineRule="exact"/>
        <w:ind w:left="420" w:leftChars="200"/>
        <w:textAlignment w:val="auto"/>
        <w:rPr>
          <w:b/>
          <w:bCs/>
        </w:rPr>
      </w:pPr>
      <w:r>
        <w:rPr>
          <w:rFonts w:hint="eastAsia"/>
          <w:b/>
          <w:bCs/>
        </w:rPr>
        <w:t>（四）教学学时分配表</w:t>
      </w:r>
    </w:p>
    <w:tbl>
      <w:tblPr>
        <w:tblStyle w:val="14"/>
        <w:tblW w:w="428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30"/>
        <w:gridCol w:w="3743"/>
        <w:gridCol w:w="1075"/>
        <w:gridCol w:w="1332"/>
      </w:tblGrid>
      <w:tr w14:paraId="16E4F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452" w:type="pct"/>
            <w:gridSpan w:val="2"/>
            <w:vAlign w:val="center"/>
          </w:tcPr>
          <w:p w14:paraId="1A72D905">
            <w:pPr>
              <w:pageBreakBefore w:val="0"/>
              <w:kinsoku/>
              <w:wordWrap/>
              <w:overflowPunct/>
              <w:topLinePunct w:val="0"/>
              <w:bidi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项目</w:t>
            </w:r>
          </w:p>
        </w:tc>
        <w:tc>
          <w:tcPr>
            <w:tcW w:w="690" w:type="pct"/>
            <w:vAlign w:val="center"/>
          </w:tcPr>
          <w:p w14:paraId="41351F3E">
            <w:pPr>
              <w:pageBreakBefore w:val="0"/>
              <w:kinsoku/>
              <w:wordWrap/>
              <w:overflowPunct/>
              <w:topLinePunct w:val="0"/>
              <w:bidi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学时数</w:t>
            </w:r>
          </w:p>
        </w:tc>
        <w:tc>
          <w:tcPr>
            <w:tcW w:w="856" w:type="pct"/>
            <w:vAlign w:val="center"/>
          </w:tcPr>
          <w:p w14:paraId="313DA6A0">
            <w:pPr>
              <w:pageBreakBefore w:val="0"/>
              <w:kinsoku/>
              <w:wordWrap/>
              <w:overflowPunct/>
              <w:topLinePunct w:val="0"/>
              <w:bidi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百分比</w:t>
            </w:r>
          </w:p>
        </w:tc>
      </w:tr>
      <w:tr w14:paraId="5281E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vAlign w:val="center"/>
          </w:tcPr>
          <w:p w14:paraId="69B490F1">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理论教学学时分配</w:t>
            </w:r>
          </w:p>
        </w:tc>
        <w:tc>
          <w:tcPr>
            <w:tcW w:w="2404" w:type="pct"/>
            <w:vAlign w:val="center"/>
          </w:tcPr>
          <w:p w14:paraId="0F6DFD14">
            <w:pPr>
              <w:pageBreakBefore w:val="0"/>
              <w:kinsoku/>
              <w:wordWrap/>
              <w:overflowPunct/>
              <w:topLinePunct w:val="0"/>
              <w:autoSpaceDE w:val="0"/>
              <w:autoSpaceDN w:val="0"/>
              <w:bidi w:val="0"/>
              <w:snapToGrid/>
              <w:spacing w:line="360" w:lineRule="exact"/>
              <w:ind w:firstLine="180" w:firstLineChars="100"/>
              <w:jc w:val="center"/>
              <w:textAlignment w:val="auto"/>
              <w:rPr>
                <w:rFonts w:ascii="宋体" w:hAnsi="宋体" w:cs="宋体"/>
                <w:sz w:val="18"/>
                <w:szCs w:val="18"/>
              </w:rPr>
            </w:pPr>
            <w:r>
              <w:rPr>
                <w:rFonts w:hint="eastAsia" w:ascii="宋体" w:hAnsi="宋体" w:cs="宋体"/>
                <w:sz w:val="18"/>
                <w:szCs w:val="18"/>
              </w:rPr>
              <w:t>公共基础课中的理论教学学时</w:t>
            </w:r>
          </w:p>
        </w:tc>
        <w:tc>
          <w:tcPr>
            <w:tcW w:w="690" w:type="pct"/>
            <w:vAlign w:val="center"/>
          </w:tcPr>
          <w:p w14:paraId="2A4C070B">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562</w:t>
            </w:r>
          </w:p>
        </w:tc>
        <w:tc>
          <w:tcPr>
            <w:tcW w:w="856" w:type="pct"/>
            <w:vAlign w:val="center"/>
          </w:tcPr>
          <w:p w14:paraId="057F77AE">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lang w:val="en-US" w:eastAsia="zh-CN"/>
              </w:rPr>
              <w:t>20.60</w:t>
            </w:r>
            <w:r>
              <w:rPr>
                <w:rFonts w:hint="eastAsia" w:ascii="宋体" w:hAnsi="宋体" w:cs="宋体"/>
                <w:sz w:val="18"/>
                <w:szCs w:val="18"/>
              </w:rPr>
              <w:t>%</w:t>
            </w:r>
          </w:p>
        </w:tc>
      </w:tr>
      <w:tr w14:paraId="3E986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2727797B">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p>
        </w:tc>
        <w:tc>
          <w:tcPr>
            <w:tcW w:w="2404" w:type="pct"/>
            <w:vAlign w:val="center"/>
          </w:tcPr>
          <w:p w14:paraId="10FCF90F">
            <w:pPr>
              <w:pageBreakBefore w:val="0"/>
              <w:kinsoku/>
              <w:wordWrap/>
              <w:overflowPunct/>
              <w:topLinePunct w:val="0"/>
              <w:autoSpaceDE w:val="0"/>
              <w:autoSpaceDN w:val="0"/>
              <w:bidi w:val="0"/>
              <w:snapToGrid/>
              <w:spacing w:line="360" w:lineRule="exact"/>
              <w:ind w:firstLine="180" w:firstLineChars="100"/>
              <w:jc w:val="center"/>
              <w:textAlignment w:val="auto"/>
              <w:rPr>
                <w:rFonts w:ascii="宋体" w:hAnsi="宋体" w:cs="宋体"/>
                <w:sz w:val="18"/>
                <w:szCs w:val="18"/>
              </w:rPr>
            </w:pPr>
            <w:r>
              <w:rPr>
                <w:rFonts w:hint="eastAsia" w:ascii="宋体" w:hAnsi="宋体" w:cs="宋体"/>
                <w:sz w:val="18"/>
                <w:szCs w:val="18"/>
              </w:rPr>
              <w:t>专业技能课中的理论教学学时</w:t>
            </w:r>
          </w:p>
        </w:tc>
        <w:tc>
          <w:tcPr>
            <w:tcW w:w="690" w:type="pct"/>
            <w:vAlign w:val="center"/>
          </w:tcPr>
          <w:p w14:paraId="08BC50B5">
            <w:pPr>
              <w:pageBreakBefore w:val="0"/>
              <w:kinsoku/>
              <w:wordWrap/>
              <w:overflowPunct/>
              <w:topLinePunct w:val="0"/>
              <w:bidi w:val="0"/>
              <w:snapToGrid/>
              <w:spacing w:line="36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556</w:t>
            </w:r>
          </w:p>
        </w:tc>
        <w:tc>
          <w:tcPr>
            <w:tcW w:w="856" w:type="pct"/>
            <w:vAlign w:val="center"/>
          </w:tcPr>
          <w:p w14:paraId="533FF6EB">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lang w:val="en-US" w:eastAsia="zh-CN"/>
              </w:rPr>
              <w:t>20.38</w:t>
            </w:r>
            <w:r>
              <w:rPr>
                <w:rFonts w:hint="eastAsia" w:ascii="宋体" w:hAnsi="宋体" w:cs="宋体"/>
                <w:sz w:val="18"/>
                <w:szCs w:val="18"/>
              </w:rPr>
              <w:t>%</w:t>
            </w:r>
          </w:p>
        </w:tc>
      </w:tr>
      <w:tr w14:paraId="2193A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4D1F837C">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p>
        </w:tc>
        <w:tc>
          <w:tcPr>
            <w:tcW w:w="2404" w:type="pct"/>
            <w:vAlign w:val="center"/>
          </w:tcPr>
          <w:p w14:paraId="60AAC3FC">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合计</w:t>
            </w:r>
          </w:p>
        </w:tc>
        <w:tc>
          <w:tcPr>
            <w:tcW w:w="690" w:type="pct"/>
            <w:vAlign w:val="center"/>
          </w:tcPr>
          <w:p w14:paraId="72A9699B">
            <w:pPr>
              <w:pageBreakBefore w:val="0"/>
              <w:kinsoku/>
              <w:wordWrap/>
              <w:overflowPunct/>
              <w:topLinePunct w:val="0"/>
              <w:bidi w:val="0"/>
              <w:snapToGrid/>
              <w:spacing w:line="36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1118</w:t>
            </w:r>
          </w:p>
        </w:tc>
        <w:tc>
          <w:tcPr>
            <w:tcW w:w="856" w:type="pct"/>
            <w:vAlign w:val="center"/>
          </w:tcPr>
          <w:p w14:paraId="7DAE4858">
            <w:pPr>
              <w:pStyle w:val="20"/>
              <w:pageBreakBefore w:val="0"/>
              <w:kinsoku/>
              <w:wordWrap/>
              <w:overflowPunct/>
              <w:topLinePunct w:val="0"/>
              <w:bidi w:val="0"/>
              <w:snapToGrid/>
              <w:spacing w:line="360" w:lineRule="exact"/>
              <w:jc w:val="center"/>
              <w:textAlignment w:val="auto"/>
              <w:rPr>
                <w:rFonts w:ascii="宋体" w:hAnsi="宋体" w:eastAsia="宋体" w:cs="宋体"/>
                <w:lang w:eastAsia="zh-CN"/>
              </w:rPr>
            </w:pPr>
            <w:r>
              <w:rPr>
                <w:rFonts w:hint="eastAsia" w:ascii="宋体" w:hAnsi="宋体" w:eastAsia="宋体" w:cs="宋体"/>
                <w:lang w:val="en-US" w:eastAsia="zh-CN"/>
              </w:rPr>
              <w:t>40.98</w:t>
            </w:r>
            <w:r>
              <w:rPr>
                <w:rFonts w:hint="eastAsia" w:ascii="宋体" w:hAnsi="宋体" w:eastAsia="宋体" w:cs="宋体"/>
                <w:lang w:eastAsia="zh-CN"/>
              </w:rPr>
              <w:t>%</w:t>
            </w:r>
          </w:p>
        </w:tc>
      </w:tr>
      <w:tr w14:paraId="526A9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vAlign w:val="center"/>
          </w:tcPr>
          <w:p w14:paraId="7E9837DF">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实践教学学时分配</w:t>
            </w:r>
          </w:p>
        </w:tc>
        <w:tc>
          <w:tcPr>
            <w:tcW w:w="2404" w:type="pct"/>
            <w:vAlign w:val="center"/>
          </w:tcPr>
          <w:p w14:paraId="08FC9BBE">
            <w:pPr>
              <w:pageBreakBefore w:val="0"/>
              <w:kinsoku/>
              <w:wordWrap/>
              <w:overflowPunct/>
              <w:topLinePunct w:val="0"/>
              <w:autoSpaceDE w:val="0"/>
              <w:autoSpaceDN w:val="0"/>
              <w:bidi w:val="0"/>
              <w:snapToGrid/>
              <w:spacing w:line="360" w:lineRule="exact"/>
              <w:ind w:firstLine="180" w:firstLineChars="100"/>
              <w:jc w:val="center"/>
              <w:textAlignment w:val="auto"/>
              <w:rPr>
                <w:rFonts w:ascii="宋体" w:hAnsi="宋体" w:cs="宋体"/>
                <w:sz w:val="18"/>
                <w:szCs w:val="18"/>
              </w:rPr>
            </w:pPr>
            <w:r>
              <w:rPr>
                <w:rFonts w:hint="eastAsia" w:ascii="宋体" w:hAnsi="宋体" w:cs="宋体"/>
                <w:sz w:val="18"/>
                <w:szCs w:val="18"/>
              </w:rPr>
              <w:t>公共基础课中的实践教学学时</w:t>
            </w:r>
          </w:p>
        </w:tc>
        <w:tc>
          <w:tcPr>
            <w:tcW w:w="690" w:type="pct"/>
            <w:vAlign w:val="center"/>
          </w:tcPr>
          <w:p w14:paraId="17122EB9">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334</w:t>
            </w:r>
          </w:p>
        </w:tc>
        <w:tc>
          <w:tcPr>
            <w:tcW w:w="856" w:type="pct"/>
            <w:vAlign w:val="center"/>
          </w:tcPr>
          <w:p w14:paraId="161D72D1">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lang w:val="en-US" w:eastAsia="zh-CN"/>
              </w:rPr>
              <w:t>12.24</w:t>
            </w:r>
            <w:r>
              <w:rPr>
                <w:rFonts w:hint="eastAsia" w:ascii="宋体" w:hAnsi="宋体" w:cs="宋体"/>
                <w:sz w:val="18"/>
                <w:szCs w:val="18"/>
              </w:rPr>
              <w:t>%</w:t>
            </w:r>
          </w:p>
        </w:tc>
      </w:tr>
      <w:tr w14:paraId="24B5D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738770B1">
            <w:pPr>
              <w:pageBreakBefore w:val="0"/>
              <w:kinsoku/>
              <w:wordWrap/>
              <w:overflowPunct/>
              <w:topLinePunct w:val="0"/>
              <w:autoSpaceDE w:val="0"/>
              <w:autoSpaceDN w:val="0"/>
              <w:bidi w:val="0"/>
              <w:snapToGrid/>
              <w:spacing w:line="360" w:lineRule="exact"/>
              <w:ind w:firstLine="420"/>
              <w:jc w:val="center"/>
              <w:textAlignment w:val="auto"/>
              <w:rPr>
                <w:rFonts w:ascii="宋体" w:hAnsi="宋体" w:cs="宋体"/>
                <w:sz w:val="18"/>
                <w:szCs w:val="18"/>
              </w:rPr>
            </w:pPr>
          </w:p>
        </w:tc>
        <w:tc>
          <w:tcPr>
            <w:tcW w:w="2404" w:type="pct"/>
            <w:vAlign w:val="center"/>
          </w:tcPr>
          <w:p w14:paraId="20DF6B52">
            <w:pPr>
              <w:pageBreakBefore w:val="0"/>
              <w:kinsoku/>
              <w:wordWrap/>
              <w:overflowPunct/>
              <w:topLinePunct w:val="0"/>
              <w:autoSpaceDE w:val="0"/>
              <w:autoSpaceDN w:val="0"/>
              <w:bidi w:val="0"/>
              <w:snapToGrid/>
              <w:spacing w:line="360" w:lineRule="exact"/>
              <w:ind w:firstLine="180" w:firstLineChars="100"/>
              <w:jc w:val="center"/>
              <w:textAlignment w:val="auto"/>
              <w:rPr>
                <w:rFonts w:ascii="宋体" w:hAnsi="宋体" w:cs="宋体"/>
                <w:sz w:val="18"/>
                <w:szCs w:val="18"/>
              </w:rPr>
            </w:pPr>
            <w:r>
              <w:rPr>
                <w:rFonts w:hint="eastAsia" w:ascii="宋体" w:hAnsi="宋体" w:cs="宋体"/>
                <w:sz w:val="18"/>
                <w:szCs w:val="18"/>
              </w:rPr>
              <w:t>专业技能课程中的实践教学学时</w:t>
            </w:r>
          </w:p>
        </w:tc>
        <w:tc>
          <w:tcPr>
            <w:tcW w:w="690" w:type="pct"/>
            <w:vAlign w:val="center"/>
          </w:tcPr>
          <w:p w14:paraId="2BAE9918">
            <w:pPr>
              <w:pageBreakBefore w:val="0"/>
              <w:kinsoku/>
              <w:wordWrap/>
              <w:overflowPunct/>
              <w:topLinePunct w:val="0"/>
              <w:bidi w:val="0"/>
              <w:snapToGrid/>
              <w:spacing w:line="36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340</w:t>
            </w:r>
          </w:p>
        </w:tc>
        <w:tc>
          <w:tcPr>
            <w:tcW w:w="856" w:type="pct"/>
            <w:vAlign w:val="center"/>
          </w:tcPr>
          <w:p w14:paraId="4CA3E088">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lang w:val="en-US" w:eastAsia="zh-CN"/>
              </w:rPr>
              <w:t>12.46</w:t>
            </w:r>
            <w:r>
              <w:rPr>
                <w:rFonts w:hint="eastAsia" w:ascii="宋体" w:hAnsi="宋体" w:cs="宋体"/>
                <w:sz w:val="18"/>
                <w:szCs w:val="18"/>
              </w:rPr>
              <w:t>%</w:t>
            </w:r>
          </w:p>
        </w:tc>
      </w:tr>
      <w:tr w14:paraId="76EE5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78B7AF73">
            <w:pPr>
              <w:pageBreakBefore w:val="0"/>
              <w:kinsoku/>
              <w:wordWrap/>
              <w:overflowPunct/>
              <w:topLinePunct w:val="0"/>
              <w:autoSpaceDE w:val="0"/>
              <w:autoSpaceDN w:val="0"/>
              <w:bidi w:val="0"/>
              <w:snapToGrid/>
              <w:spacing w:line="360" w:lineRule="exact"/>
              <w:ind w:firstLine="420"/>
              <w:jc w:val="center"/>
              <w:textAlignment w:val="auto"/>
              <w:rPr>
                <w:rFonts w:ascii="宋体" w:hAnsi="宋体" w:cs="宋体"/>
                <w:sz w:val="18"/>
                <w:szCs w:val="18"/>
              </w:rPr>
            </w:pPr>
          </w:p>
        </w:tc>
        <w:tc>
          <w:tcPr>
            <w:tcW w:w="2404" w:type="pct"/>
            <w:vAlign w:val="center"/>
          </w:tcPr>
          <w:p w14:paraId="2FBF446D">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其它</w:t>
            </w:r>
          </w:p>
        </w:tc>
        <w:tc>
          <w:tcPr>
            <w:tcW w:w="690" w:type="pct"/>
            <w:vAlign w:val="center"/>
          </w:tcPr>
          <w:p w14:paraId="2289CE14">
            <w:pPr>
              <w:pStyle w:val="20"/>
              <w:pageBreakBefore w:val="0"/>
              <w:kinsoku/>
              <w:wordWrap/>
              <w:overflowPunct/>
              <w:topLinePunct w:val="0"/>
              <w:bidi w:val="0"/>
              <w:snapToGrid/>
              <w:spacing w:line="360" w:lineRule="exact"/>
              <w:jc w:val="center"/>
              <w:textAlignment w:val="auto"/>
              <w:rPr>
                <w:rFonts w:hint="default" w:ascii="宋体" w:hAnsi="宋体" w:eastAsia="宋体" w:cs="宋体"/>
                <w:lang w:val="en-US" w:eastAsia="zh-CN"/>
              </w:rPr>
            </w:pPr>
            <w:r>
              <w:rPr>
                <w:rFonts w:hint="eastAsia" w:ascii="宋体" w:hAnsi="宋体" w:eastAsia="宋体" w:cs="宋体"/>
                <w:lang w:val="en-US" w:eastAsia="zh-CN"/>
              </w:rPr>
              <w:t>936</w:t>
            </w:r>
          </w:p>
        </w:tc>
        <w:tc>
          <w:tcPr>
            <w:tcW w:w="856" w:type="pct"/>
            <w:vAlign w:val="center"/>
          </w:tcPr>
          <w:p w14:paraId="6B4D73ED">
            <w:pPr>
              <w:pStyle w:val="20"/>
              <w:pageBreakBefore w:val="0"/>
              <w:kinsoku/>
              <w:wordWrap/>
              <w:overflowPunct/>
              <w:topLinePunct w:val="0"/>
              <w:bidi w:val="0"/>
              <w:snapToGrid/>
              <w:spacing w:line="360" w:lineRule="exact"/>
              <w:jc w:val="center"/>
              <w:textAlignment w:val="auto"/>
              <w:rPr>
                <w:rFonts w:ascii="宋体" w:hAnsi="宋体" w:eastAsia="宋体" w:cs="宋体"/>
                <w:lang w:eastAsia="zh-CN"/>
              </w:rPr>
            </w:pPr>
            <w:r>
              <w:rPr>
                <w:rFonts w:hint="eastAsia" w:ascii="宋体" w:hAnsi="宋体" w:eastAsia="宋体" w:cs="宋体"/>
                <w:lang w:val="en-US" w:eastAsia="zh-CN"/>
              </w:rPr>
              <w:t>34.31</w:t>
            </w:r>
            <w:r>
              <w:rPr>
                <w:rFonts w:hint="eastAsia" w:ascii="宋体" w:hAnsi="宋体" w:eastAsia="宋体" w:cs="宋体"/>
                <w:lang w:eastAsia="zh-CN"/>
              </w:rPr>
              <w:t>%</w:t>
            </w:r>
          </w:p>
        </w:tc>
      </w:tr>
      <w:tr w14:paraId="7AEE2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16372FD9">
            <w:pPr>
              <w:pageBreakBefore w:val="0"/>
              <w:kinsoku/>
              <w:wordWrap/>
              <w:overflowPunct/>
              <w:topLinePunct w:val="0"/>
              <w:autoSpaceDE w:val="0"/>
              <w:autoSpaceDN w:val="0"/>
              <w:bidi w:val="0"/>
              <w:snapToGrid/>
              <w:spacing w:line="360" w:lineRule="exact"/>
              <w:ind w:firstLine="420"/>
              <w:jc w:val="center"/>
              <w:textAlignment w:val="auto"/>
              <w:rPr>
                <w:rFonts w:ascii="宋体" w:hAnsi="宋体" w:cs="宋体"/>
                <w:sz w:val="18"/>
                <w:szCs w:val="18"/>
              </w:rPr>
            </w:pPr>
          </w:p>
        </w:tc>
        <w:tc>
          <w:tcPr>
            <w:tcW w:w="2404" w:type="pct"/>
            <w:vAlign w:val="center"/>
          </w:tcPr>
          <w:p w14:paraId="41049130">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合计</w:t>
            </w:r>
          </w:p>
        </w:tc>
        <w:tc>
          <w:tcPr>
            <w:tcW w:w="690" w:type="pct"/>
            <w:vAlign w:val="center"/>
          </w:tcPr>
          <w:p w14:paraId="3A083873">
            <w:pPr>
              <w:pageBreakBefore w:val="0"/>
              <w:kinsoku/>
              <w:wordWrap/>
              <w:overflowPunct/>
              <w:topLinePunct w:val="0"/>
              <w:bidi w:val="0"/>
              <w:snapToGrid/>
              <w:spacing w:line="36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1610</w:t>
            </w:r>
          </w:p>
        </w:tc>
        <w:tc>
          <w:tcPr>
            <w:tcW w:w="856" w:type="pct"/>
            <w:vAlign w:val="center"/>
          </w:tcPr>
          <w:p w14:paraId="7F9E028D">
            <w:pPr>
              <w:pStyle w:val="20"/>
              <w:pageBreakBefore w:val="0"/>
              <w:kinsoku/>
              <w:wordWrap/>
              <w:overflowPunct/>
              <w:topLinePunct w:val="0"/>
              <w:bidi w:val="0"/>
              <w:snapToGrid/>
              <w:spacing w:line="360" w:lineRule="exact"/>
              <w:jc w:val="center"/>
              <w:textAlignment w:val="auto"/>
              <w:rPr>
                <w:rFonts w:ascii="宋体" w:hAnsi="宋体" w:eastAsia="宋体" w:cs="宋体"/>
                <w:lang w:eastAsia="zh-CN"/>
              </w:rPr>
            </w:pPr>
            <w:r>
              <w:rPr>
                <w:rFonts w:hint="eastAsia" w:ascii="宋体" w:hAnsi="宋体" w:eastAsia="宋体" w:cs="宋体"/>
                <w:lang w:val="en-US" w:eastAsia="zh-CN"/>
              </w:rPr>
              <w:t>59.02</w:t>
            </w:r>
            <w:r>
              <w:rPr>
                <w:rFonts w:hint="eastAsia" w:ascii="宋体" w:hAnsi="宋体" w:eastAsia="宋体" w:cs="宋体"/>
                <w:lang w:eastAsia="zh-CN"/>
              </w:rPr>
              <w:t>%</w:t>
            </w:r>
          </w:p>
        </w:tc>
      </w:tr>
      <w:tr w14:paraId="3CA87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vAlign w:val="center"/>
          </w:tcPr>
          <w:p w14:paraId="46D84DB8">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r>
              <w:rPr>
                <w:rFonts w:hint="eastAsia" w:ascii="宋体" w:hAnsi="宋体" w:cs="宋体"/>
                <w:sz w:val="18"/>
                <w:szCs w:val="18"/>
              </w:rPr>
              <w:t>选修课程学时分配</w:t>
            </w:r>
          </w:p>
        </w:tc>
        <w:tc>
          <w:tcPr>
            <w:tcW w:w="2404" w:type="pct"/>
            <w:vAlign w:val="center"/>
          </w:tcPr>
          <w:p w14:paraId="05CC13F1">
            <w:pPr>
              <w:pageBreakBefore w:val="0"/>
              <w:kinsoku/>
              <w:wordWrap/>
              <w:overflowPunct/>
              <w:topLinePunct w:val="0"/>
              <w:autoSpaceDE w:val="0"/>
              <w:autoSpaceDN w:val="0"/>
              <w:bidi w:val="0"/>
              <w:snapToGrid/>
              <w:spacing w:line="360" w:lineRule="exact"/>
              <w:ind w:firstLine="180" w:firstLineChars="100"/>
              <w:jc w:val="center"/>
              <w:textAlignment w:val="auto"/>
              <w:rPr>
                <w:rFonts w:ascii="宋体" w:hAnsi="宋体" w:cs="宋体"/>
                <w:sz w:val="18"/>
                <w:szCs w:val="18"/>
              </w:rPr>
            </w:pPr>
            <w:r>
              <w:rPr>
                <w:rFonts w:hint="eastAsia" w:ascii="宋体" w:hAnsi="宋体" w:cs="宋体"/>
                <w:sz w:val="18"/>
                <w:szCs w:val="18"/>
              </w:rPr>
              <w:t>公共基础限选修课程学时</w:t>
            </w:r>
          </w:p>
        </w:tc>
        <w:tc>
          <w:tcPr>
            <w:tcW w:w="690" w:type="pct"/>
            <w:vAlign w:val="center"/>
          </w:tcPr>
          <w:p w14:paraId="70D48BB3">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64</w:t>
            </w:r>
          </w:p>
        </w:tc>
        <w:tc>
          <w:tcPr>
            <w:tcW w:w="856" w:type="pct"/>
            <w:vAlign w:val="center"/>
          </w:tcPr>
          <w:p w14:paraId="1E83BC38">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37</w:t>
            </w:r>
            <w:r>
              <w:rPr>
                <w:rFonts w:hint="eastAsia" w:ascii="宋体" w:hAnsi="宋体" w:cs="宋体"/>
                <w:sz w:val="18"/>
                <w:szCs w:val="18"/>
              </w:rPr>
              <w:t>%</w:t>
            </w:r>
          </w:p>
        </w:tc>
      </w:tr>
      <w:tr w14:paraId="32C8E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7" w:hRule="atLeast"/>
          <w:jc w:val="center"/>
        </w:trPr>
        <w:tc>
          <w:tcPr>
            <w:tcW w:w="1047" w:type="pct"/>
            <w:vMerge w:val="continue"/>
            <w:vAlign w:val="center"/>
          </w:tcPr>
          <w:p w14:paraId="2C02D303">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p>
        </w:tc>
        <w:tc>
          <w:tcPr>
            <w:tcW w:w="2404" w:type="pct"/>
            <w:vAlign w:val="center"/>
          </w:tcPr>
          <w:p w14:paraId="4D338615">
            <w:pPr>
              <w:pageBreakBefore w:val="0"/>
              <w:kinsoku/>
              <w:wordWrap/>
              <w:overflowPunct/>
              <w:topLinePunct w:val="0"/>
              <w:autoSpaceDE w:val="0"/>
              <w:autoSpaceDN w:val="0"/>
              <w:bidi w:val="0"/>
              <w:snapToGrid/>
              <w:spacing w:line="360" w:lineRule="exact"/>
              <w:ind w:firstLine="180" w:firstLineChars="100"/>
              <w:jc w:val="center"/>
              <w:textAlignment w:val="auto"/>
              <w:rPr>
                <w:rFonts w:ascii="宋体" w:hAnsi="宋体" w:cs="宋体"/>
                <w:sz w:val="18"/>
                <w:szCs w:val="18"/>
              </w:rPr>
            </w:pPr>
            <w:r>
              <w:rPr>
                <w:rFonts w:hint="eastAsia" w:ascii="宋体" w:hAnsi="宋体" w:cs="宋体"/>
                <w:sz w:val="18"/>
                <w:szCs w:val="18"/>
              </w:rPr>
              <w:t>公共基础任选课程学时</w:t>
            </w:r>
          </w:p>
        </w:tc>
        <w:tc>
          <w:tcPr>
            <w:tcW w:w="690" w:type="pct"/>
            <w:vAlign w:val="center"/>
          </w:tcPr>
          <w:p w14:paraId="0AB17121">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64</w:t>
            </w:r>
          </w:p>
        </w:tc>
        <w:tc>
          <w:tcPr>
            <w:tcW w:w="856" w:type="pct"/>
            <w:vAlign w:val="center"/>
          </w:tcPr>
          <w:p w14:paraId="05F475CE">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lang w:val="en-US" w:eastAsia="zh-CN"/>
              </w:rPr>
              <w:t>2.37</w:t>
            </w:r>
            <w:r>
              <w:rPr>
                <w:rFonts w:hint="eastAsia" w:ascii="宋体" w:hAnsi="宋体" w:cs="宋体"/>
                <w:sz w:val="18"/>
                <w:szCs w:val="18"/>
              </w:rPr>
              <w:t>%</w:t>
            </w:r>
          </w:p>
        </w:tc>
      </w:tr>
      <w:tr w14:paraId="30C17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3F94FF20">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p>
        </w:tc>
        <w:tc>
          <w:tcPr>
            <w:tcW w:w="2404" w:type="pct"/>
            <w:vAlign w:val="center"/>
          </w:tcPr>
          <w:p w14:paraId="552AA800">
            <w:pPr>
              <w:pageBreakBefore w:val="0"/>
              <w:kinsoku/>
              <w:wordWrap/>
              <w:overflowPunct/>
              <w:topLinePunct w:val="0"/>
              <w:autoSpaceDE w:val="0"/>
              <w:autoSpaceDN w:val="0"/>
              <w:bidi w:val="0"/>
              <w:snapToGrid/>
              <w:spacing w:line="360" w:lineRule="exact"/>
              <w:ind w:firstLine="180" w:firstLineChars="100"/>
              <w:jc w:val="center"/>
              <w:textAlignment w:val="auto"/>
              <w:rPr>
                <w:rFonts w:ascii="宋体" w:hAnsi="宋体" w:cs="宋体"/>
                <w:sz w:val="18"/>
                <w:szCs w:val="18"/>
              </w:rPr>
            </w:pPr>
            <w:r>
              <w:rPr>
                <w:rFonts w:hint="eastAsia" w:ascii="宋体" w:hAnsi="宋体" w:cs="宋体"/>
                <w:sz w:val="18"/>
                <w:szCs w:val="18"/>
              </w:rPr>
              <w:t>专业拓展（限选）课程学时</w:t>
            </w:r>
          </w:p>
        </w:tc>
        <w:tc>
          <w:tcPr>
            <w:tcW w:w="690" w:type="pct"/>
            <w:vAlign w:val="center"/>
          </w:tcPr>
          <w:p w14:paraId="2980D51A">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160</w:t>
            </w:r>
          </w:p>
        </w:tc>
        <w:tc>
          <w:tcPr>
            <w:tcW w:w="856" w:type="pct"/>
            <w:vAlign w:val="center"/>
          </w:tcPr>
          <w:p w14:paraId="6034C360">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5.</w:t>
            </w:r>
            <w:r>
              <w:rPr>
                <w:rFonts w:hint="eastAsia" w:ascii="宋体" w:hAnsi="宋体" w:cs="宋体"/>
                <w:sz w:val="18"/>
                <w:szCs w:val="18"/>
                <w:lang w:val="en-US" w:eastAsia="zh-CN"/>
              </w:rPr>
              <w:t>9</w:t>
            </w:r>
            <w:r>
              <w:rPr>
                <w:rFonts w:hint="eastAsia" w:ascii="宋体" w:hAnsi="宋体" w:cs="宋体"/>
                <w:sz w:val="18"/>
                <w:szCs w:val="18"/>
              </w:rPr>
              <w:t>3%</w:t>
            </w:r>
          </w:p>
        </w:tc>
      </w:tr>
      <w:tr w14:paraId="19CA1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78AB23C6">
            <w:pPr>
              <w:pStyle w:val="2"/>
              <w:pageBreakBefore w:val="0"/>
              <w:kinsoku/>
              <w:wordWrap/>
              <w:overflowPunct/>
              <w:topLinePunct w:val="0"/>
              <w:bidi w:val="0"/>
              <w:snapToGrid/>
              <w:spacing w:after="0" w:line="360" w:lineRule="exact"/>
              <w:jc w:val="center"/>
              <w:textAlignment w:val="auto"/>
              <w:rPr>
                <w:rFonts w:ascii="宋体" w:hAnsi="宋体" w:cs="宋体"/>
                <w:sz w:val="18"/>
                <w:szCs w:val="18"/>
              </w:rPr>
            </w:pPr>
          </w:p>
        </w:tc>
        <w:tc>
          <w:tcPr>
            <w:tcW w:w="2404" w:type="pct"/>
            <w:vAlign w:val="center"/>
          </w:tcPr>
          <w:p w14:paraId="0A11B40A">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合计</w:t>
            </w:r>
          </w:p>
        </w:tc>
        <w:tc>
          <w:tcPr>
            <w:tcW w:w="690" w:type="pct"/>
            <w:vAlign w:val="center"/>
          </w:tcPr>
          <w:p w14:paraId="42D66212">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288</w:t>
            </w:r>
          </w:p>
        </w:tc>
        <w:tc>
          <w:tcPr>
            <w:tcW w:w="856" w:type="pct"/>
            <w:vAlign w:val="center"/>
          </w:tcPr>
          <w:p w14:paraId="4E5CEA0C">
            <w:pPr>
              <w:pStyle w:val="20"/>
              <w:pageBreakBefore w:val="0"/>
              <w:kinsoku/>
              <w:wordWrap/>
              <w:overflowPunct/>
              <w:topLinePunct w:val="0"/>
              <w:bidi w:val="0"/>
              <w:snapToGrid/>
              <w:spacing w:line="360" w:lineRule="exact"/>
              <w:jc w:val="center"/>
              <w:textAlignment w:val="auto"/>
              <w:rPr>
                <w:rFonts w:ascii="宋体" w:hAnsi="宋体" w:eastAsia="宋体" w:cs="宋体"/>
                <w:lang w:eastAsia="zh-CN"/>
              </w:rPr>
            </w:pPr>
            <w:r>
              <w:rPr>
                <w:rFonts w:hint="eastAsia" w:ascii="宋体" w:hAnsi="宋体" w:eastAsia="宋体" w:cs="宋体"/>
                <w:lang w:eastAsia="zh-CN"/>
              </w:rPr>
              <w:t>10.</w:t>
            </w:r>
            <w:r>
              <w:rPr>
                <w:rFonts w:hint="eastAsia" w:ascii="宋体" w:hAnsi="宋体" w:eastAsia="宋体" w:cs="宋体"/>
                <w:lang w:val="en-US" w:eastAsia="zh-CN"/>
              </w:rPr>
              <w:t>56</w:t>
            </w:r>
            <w:r>
              <w:rPr>
                <w:rFonts w:hint="eastAsia" w:ascii="宋体" w:hAnsi="宋体" w:eastAsia="宋体" w:cs="宋体"/>
                <w:lang w:eastAsia="zh-CN"/>
              </w:rPr>
              <w:t>%</w:t>
            </w:r>
          </w:p>
        </w:tc>
      </w:tr>
      <w:tr w14:paraId="192C3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43" w:type="pct"/>
            <w:gridSpan w:val="3"/>
            <w:tcBorders>
              <w:right w:val="single" w:color="auto" w:sz="4" w:space="0"/>
            </w:tcBorders>
            <w:vAlign w:val="center"/>
          </w:tcPr>
          <w:p w14:paraId="33E9B887">
            <w:pPr>
              <w:pageBreakBefore w:val="0"/>
              <w:kinsoku/>
              <w:wordWrap/>
              <w:overflowPunct/>
              <w:topLinePunct w:val="0"/>
              <w:autoSpaceDE w:val="0"/>
              <w:autoSpaceDN w:val="0"/>
              <w:bidi w:val="0"/>
              <w:snapToGrid/>
              <w:spacing w:line="360" w:lineRule="exact"/>
              <w:ind w:firstLine="420"/>
              <w:jc w:val="center"/>
              <w:textAlignment w:val="auto"/>
              <w:rPr>
                <w:rFonts w:ascii="宋体" w:hAnsi="宋体" w:cs="宋体"/>
                <w:sz w:val="18"/>
                <w:szCs w:val="18"/>
              </w:rPr>
            </w:pPr>
            <w:r>
              <w:rPr>
                <w:rFonts w:hint="eastAsia" w:ascii="宋体" w:hAnsi="宋体" w:cs="宋体"/>
                <w:sz w:val="18"/>
                <w:szCs w:val="18"/>
              </w:rPr>
              <w:t>实践教学学时占总教学学时的比例</w:t>
            </w:r>
          </w:p>
        </w:tc>
        <w:tc>
          <w:tcPr>
            <w:tcW w:w="856" w:type="pct"/>
            <w:tcBorders>
              <w:left w:val="single" w:color="auto" w:sz="4" w:space="0"/>
            </w:tcBorders>
          </w:tcPr>
          <w:p w14:paraId="483CA0F1">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lang w:val="en-US" w:eastAsia="zh-CN"/>
              </w:rPr>
              <w:t>59.02</w:t>
            </w:r>
            <w:r>
              <w:rPr>
                <w:rFonts w:hint="eastAsia" w:ascii="宋体" w:hAnsi="宋体" w:cs="宋体"/>
                <w:sz w:val="18"/>
                <w:szCs w:val="18"/>
              </w:rPr>
              <w:t>%</w:t>
            </w:r>
          </w:p>
        </w:tc>
      </w:tr>
      <w:tr w14:paraId="3AC07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43" w:type="pct"/>
            <w:gridSpan w:val="3"/>
            <w:tcBorders>
              <w:right w:val="single" w:color="auto" w:sz="4" w:space="0"/>
            </w:tcBorders>
            <w:vAlign w:val="center"/>
          </w:tcPr>
          <w:p w14:paraId="69C8D268">
            <w:pPr>
              <w:pageBreakBefore w:val="0"/>
              <w:kinsoku/>
              <w:wordWrap/>
              <w:overflowPunct/>
              <w:topLinePunct w:val="0"/>
              <w:autoSpaceDE w:val="0"/>
              <w:autoSpaceDN w:val="0"/>
              <w:bidi w:val="0"/>
              <w:snapToGrid/>
              <w:spacing w:line="360" w:lineRule="exact"/>
              <w:ind w:firstLine="420"/>
              <w:jc w:val="center"/>
              <w:textAlignment w:val="auto"/>
              <w:rPr>
                <w:rFonts w:ascii="宋体" w:hAnsi="宋体" w:cs="宋体"/>
                <w:sz w:val="18"/>
                <w:szCs w:val="18"/>
              </w:rPr>
            </w:pPr>
            <w:r>
              <w:rPr>
                <w:rFonts w:hint="eastAsia" w:ascii="宋体" w:hAnsi="宋体" w:cs="宋体"/>
                <w:sz w:val="18"/>
                <w:szCs w:val="18"/>
              </w:rPr>
              <w:t>选修课程学时占总教学学时的比例</w:t>
            </w:r>
          </w:p>
        </w:tc>
        <w:tc>
          <w:tcPr>
            <w:tcW w:w="856" w:type="pct"/>
            <w:tcBorders>
              <w:left w:val="single" w:color="auto" w:sz="4" w:space="0"/>
            </w:tcBorders>
          </w:tcPr>
          <w:p w14:paraId="7512C7E4">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10.</w:t>
            </w:r>
            <w:r>
              <w:rPr>
                <w:rFonts w:hint="eastAsia" w:ascii="宋体" w:hAnsi="宋体" w:cs="宋体"/>
                <w:sz w:val="18"/>
                <w:szCs w:val="18"/>
                <w:lang w:val="en-US" w:eastAsia="zh-CN"/>
              </w:rPr>
              <w:t>56</w:t>
            </w:r>
            <w:r>
              <w:rPr>
                <w:rFonts w:hint="eastAsia" w:ascii="宋体" w:hAnsi="宋体" w:cs="宋体"/>
                <w:sz w:val="18"/>
                <w:szCs w:val="18"/>
              </w:rPr>
              <w:t>%</w:t>
            </w:r>
          </w:p>
        </w:tc>
      </w:tr>
    </w:tbl>
    <w:p w14:paraId="3535A534">
      <w:pPr>
        <w:pStyle w:val="4"/>
        <w:pageBreakBefore w:val="0"/>
        <w:kinsoku/>
        <w:wordWrap/>
        <w:overflowPunct/>
        <w:topLinePunct w:val="0"/>
        <w:bidi w:val="0"/>
        <w:adjustRightInd w:val="0"/>
        <w:snapToGrid/>
        <w:spacing w:before="0" w:beforeLines="0" w:after="0" w:afterLines="0" w:line="360" w:lineRule="exact"/>
        <w:ind w:firstLine="422" w:firstLineChars="200"/>
        <w:textAlignment w:val="auto"/>
        <w:rPr>
          <w:sz w:val="21"/>
          <w:szCs w:val="21"/>
        </w:rPr>
      </w:pPr>
      <w:r>
        <w:rPr>
          <w:rFonts w:hint="eastAsia"/>
          <w:sz w:val="21"/>
          <w:szCs w:val="21"/>
        </w:rPr>
        <w:t>（五）公共选修课清单</w:t>
      </w:r>
    </w:p>
    <w:p w14:paraId="4AAA1338">
      <w:pPr>
        <w:pageBreakBefore w:val="0"/>
        <w:kinsoku/>
        <w:wordWrap/>
        <w:overflowPunct/>
        <w:topLinePunct w:val="0"/>
        <w:bidi w:val="0"/>
        <w:snapToGrid/>
        <w:spacing w:line="360" w:lineRule="exact"/>
        <w:jc w:val="center"/>
        <w:textAlignment w:val="auto"/>
        <w:rPr>
          <w:b/>
          <w:bCs/>
          <w:szCs w:val="21"/>
        </w:rPr>
      </w:pPr>
      <w:r>
        <w:rPr>
          <w:rFonts w:hint="eastAsia"/>
          <w:b/>
          <w:bCs/>
          <w:szCs w:val="21"/>
        </w:rPr>
        <w:t>公共选修课清单表</w:t>
      </w:r>
    </w:p>
    <w:tbl>
      <w:tblPr>
        <w:tblStyle w:val="18"/>
        <w:tblW w:w="76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3"/>
        <w:gridCol w:w="2633"/>
        <w:gridCol w:w="738"/>
        <w:gridCol w:w="790"/>
        <w:gridCol w:w="2883"/>
      </w:tblGrid>
      <w:tr w14:paraId="32300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vAlign w:val="center"/>
          </w:tcPr>
          <w:p w14:paraId="544278C1">
            <w:pPr>
              <w:pageBreakBefore w:val="0"/>
              <w:kinsoku/>
              <w:wordWrap/>
              <w:overflowPunct/>
              <w:topLinePunct w:val="0"/>
              <w:autoSpaceDE w:val="0"/>
              <w:autoSpaceDN w:val="0"/>
              <w:bidi w:val="0"/>
              <w:snapToGrid/>
              <w:spacing w:line="360" w:lineRule="exact"/>
              <w:jc w:val="center"/>
              <w:textAlignment w:val="auto"/>
              <w:rPr>
                <w:rFonts w:ascii="宋体" w:hAnsi="宋体" w:cs="宋体"/>
                <w:b/>
                <w:bCs/>
                <w:sz w:val="21"/>
                <w:szCs w:val="21"/>
                <w:lang w:eastAsia="en-US"/>
              </w:rPr>
            </w:pPr>
            <w:r>
              <w:rPr>
                <w:rFonts w:hint="eastAsia" w:ascii="宋体" w:hAnsi="宋体" w:cs="宋体"/>
                <w:b/>
                <w:bCs/>
                <w:sz w:val="21"/>
                <w:szCs w:val="21"/>
                <w:lang w:eastAsia="en-US"/>
              </w:rPr>
              <w:t>序号</w:t>
            </w:r>
          </w:p>
        </w:tc>
        <w:tc>
          <w:tcPr>
            <w:tcW w:w="2633" w:type="dxa"/>
            <w:tcBorders>
              <w:top w:val="single" w:color="000000" w:sz="6" w:space="0"/>
              <w:left w:val="single" w:color="000000" w:sz="6" w:space="0"/>
              <w:bottom w:val="single" w:color="000000" w:sz="6" w:space="0"/>
              <w:right w:val="single" w:color="000000" w:sz="6" w:space="0"/>
            </w:tcBorders>
            <w:vAlign w:val="center"/>
          </w:tcPr>
          <w:p w14:paraId="56BA06D0">
            <w:pPr>
              <w:pageBreakBefore w:val="0"/>
              <w:kinsoku/>
              <w:wordWrap/>
              <w:overflowPunct/>
              <w:topLinePunct w:val="0"/>
              <w:autoSpaceDE w:val="0"/>
              <w:autoSpaceDN w:val="0"/>
              <w:bidi w:val="0"/>
              <w:snapToGrid/>
              <w:spacing w:line="360" w:lineRule="exact"/>
              <w:jc w:val="center"/>
              <w:textAlignment w:val="auto"/>
              <w:rPr>
                <w:rFonts w:ascii="宋体" w:hAnsi="宋体" w:cs="宋体"/>
                <w:b/>
                <w:bCs/>
                <w:sz w:val="21"/>
                <w:szCs w:val="21"/>
                <w:lang w:eastAsia="en-US"/>
              </w:rPr>
            </w:pPr>
            <w:r>
              <w:rPr>
                <w:rFonts w:hint="eastAsia" w:ascii="宋体" w:hAnsi="宋体" w:cs="宋体"/>
                <w:b/>
                <w:bCs/>
                <w:sz w:val="21"/>
                <w:szCs w:val="21"/>
                <w:lang w:eastAsia="en-US"/>
              </w:rPr>
              <w:t>课程名称</w:t>
            </w:r>
          </w:p>
        </w:tc>
        <w:tc>
          <w:tcPr>
            <w:tcW w:w="738" w:type="dxa"/>
            <w:tcBorders>
              <w:top w:val="single" w:color="000000" w:sz="6" w:space="0"/>
              <w:left w:val="single" w:color="000000" w:sz="6" w:space="0"/>
              <w:bottom w:val="single" w:color="000000" w:sz="6" w:space="0"/>
              <w:right w:val="single" w:color="000000" w:sz="6" w:space="0"/>
            </w:tcBorders>
            <w:vAlign w:val="center"/>
          </w:tcPr>
          <w:p w14:paraId="6DB8B21D">
            <w:pPr>
              <w:pageBreakBefore w:val="0"/>
              <w:kinsoku/>
              <w:wordWrap/>
              <w:overflowPunct/>
              <w:topLinePunct w:val="0"/>
              <w:autoSpaceDE w:val="0"/>
              <w:autoSpaceDN w:val="0"/>
              <w:bidi w:val="0"/>
              <w:snapToGrid/>
              <w:spacing w:line="360" w:lineRule="exact"/>
              <w:jc w:val="center"/>
              <w:textAlignment w:val="auto"/>
              <w:rPr>
                <w:rFonts w:ascii="宋体" w:hAnsi="宋体" w:cs="宋体"/>
                <w:b/>
                <w:bCs/>
                <w:sz w:val="21"/>
                <w:szCs w:val="21"/>
                <w:lang w:eastAsia="en-US"/>
              </w:rPr>
            </w:pPr>
            <w:r>
              <w:rPr>
                <w:rFonts w:hint="eastAsia" w:ascii="宋体" w:hAnsi="宋体" w:cs="宋体"/>
                <w:b/>
                <w:bCs/>
                <w:sz w:val="21"/>
                <w:szCs w:val="21"/>
                <w:lang w:eastAsia="en-US"/>
              </w:rPr>
              <w:t>学分</w:t>
            </w:r>
          </w:p>
        </w:tc>
        <w:tc>
          <w:tcPr>
            <w:tcW w:w="790" w:type="dxa"/>
            <w:tcBorders>
              <w:top w:val="single" w:color="000000" w:sz="6" w:space="0"/>
              <w:left w:val="single" w:color="000000" w:sz="6" w:space="0"/>
              <w:bottom w:val="single" w:color="000000" w:sz="6" w:space="0"/>
              <w:right w:val="single" w:color="000000" w:sz="6" w:space="0"/>
            </w:tcBorders>
            <w:vAlign w:val="center"/>
          </w:tcPr>
          <w:p w14:paraId="253F79CD">
            <w:pPr>
              <w:pageBreakBefore w:val="0"/>
              <w:kinsoku/>
              <w:wordWrap/>
              <w:overflowPunct/>
              <w:topLinePunct w:val="0"/>
              <w:autoSpaceDE w:val="0"/>
              <w:autoSpaceDN w:val="0"/>
              <w:bidi w:val="0"/>
              <w:snapToGrid/>
              <w:spacing w:line="360" w:lineRule="exact"/>
              <w:jc w:val="center"/>
              <w:textAlignment w:val="auto"/>
              <w:rPr>
                <w:rFonts w:ascii="宋体" w:hAnsi="宋体" w:cs="宋体"/>
                <w:b/>
                <w:bCs/>
                <w:sz w:val="21"/>
                <w:szCs w:val="21"/>
                <w:lang w:eastAsia="en-US"/>
              </w:rPr>
            </w:pPr>
            <w:r>
              <w:rPr>
                <w:rFonts w:hint="eastAsia" w:ascii="宋体" w:hAnsi="宋体" w:cs="宋体"/>
                <w:b/>
                <w:bCs/>
                <w:sz w:val="21"/>
                <w:szCs w:val="21"/>
                <w:lang w:eastAsia="en-US"/>
              </w:rPr>
              <w:t>总学时</w:t>
            </w:r>
          </w:p>
        </w:tc>
        <w:tc>
          <w:tcPr>
            <w:tcW w:w="2883" w:type="dxa"/>
            <w:tcBorders>
              <w:top w:val="single" w:color="000000" w:sz="6" w:space="0"/>
              <w:left w:val="single" w:color="000000" w:sz="6" w:space="0"/>
              <w:bottom w:val="single" w:color="000000" w:sz="6" w:space="0"/>
              <w:right w:val="single" w:color="000000" w:sz="6" w:space="0"/>
            </w:tcBorders>
            <w:vAlign w:val="center"/>
          </w:tcPr>
          <w:p w14:paraId="75CD95D9">
            <w:pPr>
              <w:pageBreakBefore w:val="0"/>
              <w:kinsoku/>
              <w:wordWrap/>
              <w:overflowPunct/>
              <w:topLinePunct w:val="0"/>
              <w:autoSpaceDE w:val="0"/>
              <w:autoSpaceDN w:val="0"/>
              <w:bidi w:val="0"/>
              <w:snapToGrid/>
              <w:spacing w:line="360" w:lineRule="exact"/>
              <w:jc w:val="center"/>
              <w:textAlignment w:val="auto"/>
              <w:rPr>
                <w:rFonts w:ascii="宋体" w:hAnsi="宋体" w:cs="宋体"/>
                <w:b/>
                <w:bCs/>
                <w:sz w:val="21"/>
                <w:szCs w:val="21"/>
                <w:lang w:eastAsia="en-US"/>
              </w:rPr>
            </w:pPr>
            <w:r>
              <w:rPr>
                <w:rFonts w:hint="eastAsia" w:ascii="宋体" w:hAnsi="宋体" w:cs="宋体"/>
                <w:b/>
                <w:bCs/>
                <w:sz w:val="21"/>
                <w:szCs w:val="21"/>
                <w:lang w:eastAsia="en-US"/>
              </w:rPr>
              <w:t>备注</w:t>
            </w:r>
          </w:p>
        </w:tc>
      </w:tr>
      <w:tr w14:paraId="677AD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vAlign w:val="center"/>
          </w:tcPr>
          <w:p w14:paraId="043F8CA1">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4FF5F7">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音乐鉴赏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B70A46">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A8E203">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restart"/>
            <w:tcBorders>
              <w:top w:val="single" w:color="000000" w:sz="6" w:space="0"/>
              <w:left w:val="single" w:color="000000" w:sz="6" w:space="0"/>
              <w:right w:val="single" w:color="000000" w:sz="6" w:space="0"/>
            </w:tcBorders>
            <w:vAlign w:val="center"/>
          </w:tcPr>
          <w:p w14:paraId="56754C2B">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zh-CN"/>
              </w:rPr>
            </w:pPr>
            <w:r>
              <w:rPr>
                <w:rFonts w:hint="eastAsia" w:ascii="宋体" w:hAnsi="宋体" w:cs="宋体"/>
                <w:sz w:val="18"/>
                <w:szCs w:val="18"/>
                <w:lang w:eastAsia="zh-CN"/>
              </w:rPr>
              <w:t>8门课程任选2门</w:t>
            </w:r>
          </w:p>
          <w:p w14:paraId="545DA8F9">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val="zh-CN" w:eastAsia="zh-CN"/>
              </w:rPr>
            </w:pPr>
            <w:r>
              <w:rPr>
                <w:rFonts w:hint="eastAsia" w:ascii="宋体" w:hAnsi="宋体" w:cs="宋体"/>
                <w:sz w:val="18"/>
                <w:szCs w:val="18"/>
                <w:lang w:eastAsia="zh-CN"/>
              </w:rPr>
              <w:t>（非艺术类专业学生至少选修2门）</w:t>
            </w:r>
          </w:p>
        </w:tc>
      </w:tr>
      <w:tr w14:paraId="337AF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vAlign w:val="center"/>
          </w:tcPr>
          <w:p w14:paraId="544A11BC">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34AA97">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美术鉴赏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6EA23C">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CDDA45">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vAlign w:val="center"/>
          </w:tcPr>
          <w:p w14:paraId="096EF107">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val="zh-CN" w:eastAsia="en-US"/>
              </w:rPr>
            </w:pPr>
          </w:p>
        </w:tc>
      </w:tr>
      <w:tr w14:paraId="6F1F5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vAlign w:val="center"/>
          </w:tcPr>
          <w:p w14:paraId="14AACE1D">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95913E">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书法鉴赏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AEC11B">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182DA3">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vAlign w:val="center"/>
          </w:tcPr>
          <w:p w14:paraId="60BF1A57">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val="zh-CN" w:eastAsia="en-US"/>
              </w:rPr>
            </w:pPr>
          </w:p>
        </w:tc>
      </w:tr>
      <w:tr w14:paraId="5E64B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vAlign w:val="center"/>
          </w:tcPr>
          <w:p w14:paraId="22A5942F">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DBA740">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戏剧鉴赏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779D3C">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1EA678">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vAlign w:val="center"/>
          </w:tcPr>
          <w:p w14:paraId="6B8DD8D6">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val="zh-CN" w:eastAsia="en-US"/>
              </w:rPr>
            </w:pPr>
          </w:p>
        </w:tc>
      </w:tr>
      <w:tr w14:paraId="7B11F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176BC1">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1C70AB">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影视鉴赏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403463">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116B41">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vAlign w:val="center"/>
          </w:tcPr>
          <w:p w14:paraId="42CE0F33">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val="zh-CN" w:eastAsia="en-US"/>
              </w:rPr>
            </w:pPr>
          </w:p>
        </w:tc>
      </w:tr>
      <w:tr w14:paraId="5DD76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DAAC6A">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7A49F9">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舞蹈鉴赏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CF645F">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0D03C2">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vAlign w:val="center"/>
          </w:tcPr>
          <w:p w14:paraId="24D2EA40">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val="zh-CN" w:eastAsia="en-US"/>
              </w:rPr>
            </w:pPr>
          </w:p>
        </w:tc>
      </w:tr>
      <w:tr w14:paraId="08DA4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1DD457">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518601">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钧瓷鉴赏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77F730">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B1F710">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vAlign w:val="center"/>
          </w:tcPr>
          <w:p w14:paraId="49767696">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val="zh-CN" w:eastAsia="en-US"/>
              </w:rPr>
            </w:pPr>
          </w:p>
        </w:tc>
      </w:tr>
      <w:tr w14:paraId="7350F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3F770D">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5E876A">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艺术导论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180A4F">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434152">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bottom w:val="single" w:color="000000" w:sz="6" w:space="0"/>
              <w:right w:val="single" w:color="000000" w:sz="6" w:space="0"/>
            </w:tcBorders>
            <w:vAlign w:val="center"/>
          </w:tcPr>
          <w:p w14:paraId="225D54AF">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val="zh-CN" w:eastAsia="en-US"/>
              </w:rPr>
            </w:pPr>
          </w:p>
        </w:tc>
      </w:tr>
      <w:tr w14:paraId="10166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636CE7">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9AB4C1">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中共党史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4FE40A">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FCBBC4">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restart"/>
            <w:tcBorders>
              <w:top w:val="single" w:color="000000" w:sz="6" w:space="0"/>
              <w:left w:val="single" w:color="000000" w:sz="6" w:space="0"/>
              <w:right w:val="single" w:color="000000" w:sz="6" w:space="0"/>
            </w:tcBorders>
            <w:shd w:val="clear" w:color="auto" w:fill="auto"/>
            <w:vAlign w:val="center"/>
          </w:tcPr>
          <w:p w14:paraId="036E4C1E">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任选2门</w:t>
            </w:r>
          </w:p>
          <w:p w14:paraId="2AB32AFE">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val="zh-CN" w:eastAsia="en-US"/>
              </w:rPr>
            </w:pPr>
            <w:r>
              <w:rPr>
                <w:rFonts w:hint="eastAsia" w:ascii="宋体" w:hAnsi="宋体" w:cs="宋体"/>
                <w:sz w:val="18"/>
                <w:szCs w:val="18"/>
                <w:lang w:eastAsia="en-US"/>
              </w:rPr>
              <w:t>在线学习</w:t>
            </w:r>
          </w:p>
        </w:tc>
      </w:tr>
      <w:tr w14:paraId="5A144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AFC2C6">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10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59131C">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改革开放史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1C98A2">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7C4602">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shd w:val="clear" w:color="auto" w:fill="auto"/>
            <w:vAlign w:val="center"/>
          </w:tcPr>
          <w:p w14:paraId="325763CC">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val="zh-CN" w:eastAsia="en-US"/>
              </w:rPr>
            </w:pPr>
          </w:p>
        </w:tc>
      </w:tr>
      <w:tr w14:paraId="59EA7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C72663">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11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EDC441">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社会主义发展史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7F9925">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94EED6">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shd w:val="clear" w:color="auto" w:fill="auto"/>
            <w:vAlign w:val="center"/>
          </w:tcPr>
          <w:p w14:paraId="2FD8C077">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val="zh-CN" w:eastAsia="en-US"/>
              </w:rPr>
            </w:pPr>
          </w:p>
        </w:tc>
      </w:tr>
      <w:tr w14:paraId="09F41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5FC7D5">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12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4C3774">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新中国史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14EC8C">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2AD9F0">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shd w:val="clear" w:color="auto" w:fill="auto"/>
            <w:vAlign w:val="center"/>
          </w:tcPr>
          <w:p w14:paraId="367A56C9">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val="zh-CN" w:eastAsia="en-US"/>
              </w:rPr>
            </w:pPr>
          </w:p>
        </w:tc>
      </w:tr>
      <w:tr w14:paraId="62E55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38AC64">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13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0092E4">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中国近代史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6AE575">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5C73E0">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shd w:val="clear" w:color="auto" w:fill="auto"/>
            <w:vAlign w:val="center"/>
          </w:tcPr>
          <w:p w14:paraId="0734F7FB">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val="zh-CN" w:eastAsia="en-US"/>
              </w:rPr>
            </w:pPr>
          </w:p>
        </w:tc>
      </w:tr>
      <w:tr w14:paraId="3FC8E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303288">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14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56302D">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zh-CN"/>
              </w:rPr>
            </w:pPr>
            <w:r>
              <w:rPr>
                <w:rFonts w:hint="eastAsia" w:ascii="宋体" w:hAnsi="宋体" w:cs="宋体"/>
                <w:sz w:val="18"/>
                <w:szCs w:val="18"/>
                <w:lang w:eastAsia="zh-CN"/>
              </w:rPr>
              <w:t>马克思主义基本原理概论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9452C2">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68DC7B">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shd w:val="clear" w:color="auto" w:fill="auto"/>
            <w:vAlign w:val="center"/>
          </w:tcPr>
          <w:p w14:paraId="357B0282">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val="zh-CN" w:eastAsia="en-US"/>
              </w:rPr>
            </w:pPr>
          </w:p>
        </w:tc>
      </w:tr>
      <w:tr w14:paraId="13D6B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3DCC0E">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15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8BFC72">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zh-CN"/>
              </w:rPr>
            </w:pPr>
            <w:r>
              <w:rPr>
                <w:rFonts w:hint="eastAsia" w:ascii="宋体" w:hAnsi="宋体" w:cs="宋体"/>
                <w:sz w:val="18"/>
                <w:szCs w:val="18"/>
                <w:lang w:eastAsia="zh-CN"/>
              </w:rPr>
              <w:t>大学生马克思主义素养</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AA47DC">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AC9BEC">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shd w:val="clear" w:color="auto" w:fill="auto"/>
            <w:vAlign w:val="center"/>
          </w:tcPr>
          <w:p w14:paraId="7499D2F8">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p>
        </w:tc>
      </w:tr>
      <w:tr w14:paraId="4867A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362CC6">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16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6D5E15">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延安精神概论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7607C6">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F9FBC7">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shd w:val="clear" w:color="auto" w:fill="auto"/>
            <w:vAlign w:val="center"/>
          </w:tcPr>
          <w:p w14:paraId="48A9987B">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val="zh-CN" w:eastAsia="en-US"/>
              </w:rPr>
            </w:pPr>
          </w:p>
        </w:tc>
      </w:tr>
      <w:tr w14:paraId="0A04C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5DC20F">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17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974024">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zh-CN"/>
              </w:rPr>
            </w:pPr>
            <w:r>
              <w:rPr>
                <w:rFonts w:hint="eastAsia" w:ascii="宋体" w:hAnsi="宋体" w:cs="宋体"/>
                <w:sz w:val="18"/>
                <w:szCs w:val="18"/>
                <w:lang w:eastAsia="zh-CN"/>
              </w:rPr>
              <w:t>延安精神特色素质教育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FDF44C">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279361">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shd w:val="clear" w:color="auto" w:fill="auto"/>
            <w:vAlign w:val="center"/>
          </w:tcPr>
          <w:p w14:paraId="1061EF0B">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val="zh-CN" w:eastAsia="en-US"/>
              </w:rPr>
            </w:pPr>
          </w:p>
        </w:tc>
      </w:tr>
      <w:tr w14:paraId="67287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554D89">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18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88035D">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红船精神与时代价值</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E8A2C4">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AA6C6D">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shd w:val="clear" w:color="auto" w:fill="auto"/>
            <w:vAlign w:val="center"/>
          </w:tcPr>
          <w:p w14:paraId="7550CF60">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p>
        </w:tc>
      </w:tr>
      <w:tr w14:paraId="3F8B6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BB7DAB">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19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5722B4">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东北抗联精神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7011F4">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7DCA3F">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shd w:val="clear" w:color="auto" w:fill="auto"/>
            <w:vAlign w:val="center"/>
          </w:tcPr>
          <w:p w14:paraId="32EB55ED">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p>
        </w:tc>
      </w:tr>
      <w:tr w14:paraId="3CF11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2B72ED">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B170DC">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中国红色文化精神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5F537D">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732474">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shd w:val="clear" w:color="auto" w:fill="auto"/>
            <w:vAlign w:val="center"/>
          </w:tcPr>
          <w:p w14:paraId="6E5F6276">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p>
        </w:tc>
      </w:tr>
      <w:tr w14:paraId="79301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39FA81">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E20782">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zh-CN"/>
              </w:rPr>
            </w:pPr>
            <w:r>
              <w:rPr>
                <w:rFonts w:hint="eastAsia" w:ascii="宋体" w:hAnsi="宋体" w:cs="宋体"/>
                <w:sz w:val="18"/>
                <w:szCs w:val="18"/>
                <w:lang w:eastAsia="zh-CN"/>
              </w:rPr>
              <w:t>世界舞台上的中华文明</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565D1B">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D32AA4">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shd w:val="clear" w:color="auto" w:fill="auto"/>
            <w:vAlign w:val="center"/>
          </w:tcPr>
          <w:p w14:paraId="30DB4E42">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p>
        </w:tc>
      </w:tr>
      <w:tr w14:paraId="0DCE2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707882">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22</w:t>
            </w:r>
          </w:p>
        </w:tc>
        <w:tc>
          <w:tcPr>
            <w:tcW w:w="2633" w:type="dxa"/>
            <w:tcBorders>
              <w:top w:val="single" w:color="000000" w:sz="6" w:space="0"/>
              <w:left w:val="single" w:color="000000" w:sz="6" w:space="0"/>
              <w:bottom w:val="single" w:color="000000" w:sz="6" w:space="0"/>
              <w:right w:val="single" w:color="000000" w:sz="6" w:space="0"/>
            </w:tcBorders>
            <w:vAlign w:val="center"/>
          </w:tcPr>
          <w:p w14:paraId="288E8384">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创业教育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65225A80">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6C1F21E9">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vAlign w:val="center"/>
          </w:tcPr>
          <w:p w14:paraId="4B6525D9">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p>
        </w:tc>
      </w:tr>
      <w:tr w14:paraId="3F041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CB5DE6">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23</w:t>
            </w:r>
          </w:p>
        </w:tc>
        <w:tc>
          <w:tcPr>
            <w:tcW w:w="2633" w:type="dxa"/>
            <w:tcBorders>
              <w:top w:val="single" w:color="000000" w:sz="6" w:space="0"/>
              <w:left w:val="single" w:color="000000" w:sz="6" w:space="0"/>
              <w:bottom w:val="single" w:color="000000" w:sz="6" w:space="0"/>
              <w:right w:val="single" w:color="000000" w:sz="6" w:space="0"/>
            </w:tcBorders>
            <w:vAlign w:val="center"/>
          </w:tcPr>
          <w:p w14:paraId="7CA2A135">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演讲与口才</w:t>
            </w:r>
          </w:p>
        </w:tc>
        <w:tc>
          <w:tcPr>
            <w:tcW w:w="738" w:type="dxa"/>
            <w:tcBorders>
              <w:top w:val="single" w:color="000000" w:sz="6" w:space="0"/>
              <w:left w:val="single" w:color="000000" w:sz="6" w:space="0"/>
              <w:bottom w:val="single" w:color="000000" w:sz="6" w:space="0"/>
              <w:right w:val="single" w:color="000000" w:sz="6" w:space="0"/>
            </w:tcBorders>
            <w:vAlign w:val="center"/>
          </w:tcPr>
          <w:p w14:paraId="0B7959BE">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82E1B3D">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vAlign w:val="center"/>
          </w:tcPr>
          <w:p w14:paraId="06AB6EB7">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p>
        </w:tc>
      </w:tr>
      <w:tr w14:paraId="2B01A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DFDDB4">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24</w:t>
            </w:r>
          </w:p>
        </w:tc>
        <w:tc>
          <w:tcPr>
            <w:tcW w:w="2633" w:type="dxa"/>
            <w:tcBorders>
              <w:top w:val="single" w:color="000000" w:sz="6" w:space="0"/>
              <w:left w:val="single" w:color="000000" w:sz="6" w:space="0"/>
              <w:bottom w:val="single" w:color="000000" w:sz="6" w:space="0"/>
              <w:right w:val="single" w:color="000000" w:sz="6" w:space="0"/>
            </w:tcBorders>
            <w:vAlign w:val="center"/>
          </w:tcPr>
          <w:p w14:paraId="197731B4">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商务礼仪</w:t>
            </w:r>
          </w:p>
        </w:tc>
        <w:tc>
          <w:tcPr>
            <w:tcW w:w="738" w:type="dxa"/>
            <w:tcBorders>
              <w:top w:val="single" w:color="000000" w:sz="6" w:space="0"/>
              <w:left w:val="single" w:color="000000" w:sz="6" w:space="0"/>
              <w:bottom w:val="single" w:color="000000" w:sz="6" w:space="0"/>
              <w:right w:val="single" w:color="000000" w:sz="6" w:space="0"/>
            </w:tcBorders>
            <w:vAlign w:val="center"/>
          </w:tcPr>
          <w:p w14:paraId="559FB93C">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3A2F3D33">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vAlign w:val="center"/>
          </w:tcPr>
          <w:p w14:paraId="6DF784D6">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p>
        </w:tc>
      </w:tr>
      <w:tr w14:paraId="5ECAA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C9A4B5">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25</w:t>
            </w:r>
          </w:p>
        </w:tc>
        <w:tc>
          <w:tcPr>
            <w:tcW w:w="2633" w:type="dxa"/>
            <w:tcBorders>
              <w:top w:val="single" w:color="000000" w:sz="6" w:space="0"/>
              <w:left w:val="single" w:color="000000" w:sz="6" w:space="0"/>
              <w:bottom w:val="single" w:color="000000" w:sz="6" w:space="0"/>
              <w:right w:val="single" w:color="000000" w:sz="6" w:space="0"/>
            </w:tcBorders>
            <w:vAlign w:val="center"/>
          </w:tcPr>
          <w:p w14:paraId="69A1EB79">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普通话</w:t>
            </w:r>
          </w:p>
        </w:tc>
        <w:tc>
          <w:tcPr>
            <w:tcW w:w="738" w:type="dxa"/>
            <w:tcBorders>
              <w:top w:val="single" w:color="000000" w:sz="6" w:space="0"/>
              <w:left w:val="single" w:color="000000" w:sz="6" w:space="0"/>
              <w:bottom w:val="single" w:color="000000" w:sz="6" w:space="0"/>
              <w:right w:val="single" w:color="000000" w:sz="6" w:space="0"/>
            </w:tcBorders>
            <w:vAlign w:val="center"/>
          </w:tcPr>
          <w:p w14:paraId="002F50E6">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4629584F">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vAlign w:val="center"/>
          </w:tcPr>
          <w:p w14:paraId="64B35699">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p>
        </w:tc>
      </w:tr>
      <w:tr w14:paraId="5F813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3C4FCD">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26</w:t>
            </w:r>
          </w:p>
        </w:tc>
        <w:tc>
          <w:tcPr>
            <w:tcW w:w="2633" w:type="dxa"/>
            <w:tcBorders>
              <w:top w:val="single" w:color="000000" w:sz="6" w:space="0"/>
              <w:left w:val="single" w:color="000000" w:sz="6" w:space="0"/>
              <w:bottom w:val="single" w:color="000000" w:sz="6" w:space="0"/>
              <w:right w:val="single" w:color="000000" w:sz="6" w:space="0"/>
            </w:tcBorders>
            <w:vAlign w:val="center"/>
          </w:tcPr>
          <w:p w14:paraId="3CE118D8">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应用文写作</w:t>
            </w:r>
          </w:p>
        </w:tc>
        <w:tc>
          <w:tcPr>
            <w:tcW w:w="738" w:type="dxa"/>
            <w:tcBorders>
              <w:top w:val="single" w:color="000000" w:sz="6" w:space="0"/>
              <w:left w:val="single" w:color="000000" w:sz="6" w:space="0"/>
              <w:bottom w:val="single" w:color="000000" w:sz="6" w:space="0"/>
              <w:right w:val="single" w:color="000000" w:sz="6" w:space="0"/>
            </w:tcBorders>
            <w:vAlign w:val="center"/>
          </w:tcPr>
          <w:p w14:paraId="20395964">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4A550F5F">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vAlign w:val="center"/>
          </w:tcPr>
          <w:p w14:paraId="5F3EB582">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p>
        </w:tc>
      </w:tr>
      <w:tr w14:paraId="0BD7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CD75C0">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27</w:t>
            </w:r>
          </w:p>
        </w:tc>
        <w:tc>
          <w:tcPr>
            <w:tcW w:w="2633" w:type="dxa"/>
            <w:tcBorders>
              <w:top w:val="single" w:color="000000" w:sz="6" w:space="0"/>
              <w:left w:val="single" w:color="000000" w:sz="6" w:space="0"/>
              <w:bottom w:val="single" w:color="000000" w:sz="6" w:space="0"/>
              <w:right w:val="single" w:color="000000" w:sz="6" w:space="0"/>
            </w:tcBorders>
            <w:vAlign w:val="center"/>
          </w:tcPr>
          <w:p w14:paraId="339EF62B">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中华优秀传统文化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6AA7ECE0">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28C1A88D">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vAlign w:val="center"/>
          </w:tcPr>
          <w:p w14:paraId="2A469D7E">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p>
        </w:tc>
      </w:tr>
      <w:tr w14:paraId="3303D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5A9DDC">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28</w:t>
            </w:r>
          </w:p>
        </w:tc>
        <w:tc>
          <w:tcPr>
            <w:tcW w:w="2633" w:type="dxa"/>
            <w:tcBorders>
              <w:top w:val="single" w:color="000000" w:sz="6" w:space="0"/>
              <w:left w:val="single" w:color="000000" w:sz="6" w:space="0"/>
              <w:bottom w:val="single" w:color="000000" w:sz="6" w:space="0"/>
              <w:right w:val="single" w:color="000000" w:sz="6" w:space="0"/>
            </w:tcBorders>
            <w:vAlign w:val="center"/>
          </w:tcPr>
          <w:p w14:paraId="56BE7EB1">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饮食文化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22E86761">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22FAB3E1">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vAlign w:val="center"/>
          </w:tcPr>
          <w:p w14:paraId="14C71E73">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p>
        </w:tc>
      </w:tr>
      <w:tr w14:paraId="75178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85C9C3">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29</w:t>
            </w:r>
          </w:p>
        </w:tc>
        <w:tc>
          <w:tcPr>
            <w:tcW w:w="2633" w:type="dxa"/>
            <w:tcBorders>
              <w:top w:val="single" w:color="000000" w:sz="6" w:space="0"/>
              <w:left w:val="single" w:color="000000" w:sz="6" w:space="0"/>
              <w:bottom w:val="single" w:color="000000" w:sz="6" w:space="0"/>
              <w:right w:val="single" w:color="000000" w:sz="6" w:space="0"/>
            </w:tcBorders>
            <w:vAlign w:val="center"/>
          </w:tcPr>
          <w:p w14:paraId="43BA6FA0">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健康教育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2D400B75">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7AB8C827">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vAlign w:val="center"/>
          </w:tcPr>
          <w:p w14:paraId="4FDE03BB">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p>
        </w:tc>
      </w:tr>
      <w:tr w14:paraId="43D5C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A7326B">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30</w:t>
            </w:r>
          </w:p>
        </w:tc>
        <w:tc>
          <w:tcPr>
            <w:tcW w:w="2633" w:type="dxa"/>
            <w:tcBorders>
              <w:top w:val="single" w:color="000000" w:sz="6" w:space="0"/>
              <w:left w:val="single" w:color="000000" w:sz="6" w:space="0"/>
              <w:bottom w:val="single" w:color="000000" w:sz="6" w:space="0"/>
              <w:right w:val="single" w:color="000000" w:sz="6" w:space="0"/>
            </w:tcBorders>
            <w:vAlign w:val="center"/>
          </w:tcPr>
          <w:p w14:paraId="115EF414">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中华传统武术</w:t>
            </w:r>
          </w:p>
        </w:tc>
        <w:tc>
          <w:tcPr>
            <w:tcW w:w="738" w:type="dxa"/>
            <w:tcBorders>
              <w:top w:val="single" w:color="000000" w:sz="6" w:space="0"/>
              <w:left w:val="single" w:color="000000" w:sz="6" w:space="0"/>
              <w:bottom w:val="single" w:color="000000" w:sz="6" w:space="0"/>
              <w:right w:val="single" w:color="000000" w:sz="6" w:space="0"/>
            </w:tcBorders>
            <w:vAlign w:val="center"/>
          </w:tcPr>
          <w:p w14:paraId="339BD525">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16C5C14">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vAlign w:val="center"/>
          </w:tcPr>
          <w:p w14:paraId="0D70CCE7">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p>
        </w:tc>
      </w:tr>
      <w:tr w14:paraId="2C0AB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EB1F56">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31</w:t>
            </w:r>
          </w:p>
        </w:tc>
        <w:tc>
          <w:tcPr>
            <w:tcW w:w="2633" w:type="dxa"/>
            <w:tcBorders>
              <w:top w:val="single" w:color="000000" w:sz="6" w:space="0"/>
              <w:left w:val="single" w:color="000000" w:sz="6" w:space="0"/>
              <w:bottom w:val="single" w:color="000000" w:sz="6" w:space="0"/>
              <w:right w:val="single" w:color="000000" w:sz="6" w:space="0"/>
            </w:tcBorders>
            <w:vAlign w:val="center"/>
          </w:tcPr>
          <w:p w14:paraId="242258E3">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音乐识谱与民乐入门</w:t>
            </w:r>
          </w:p>
        </w:tc>
        <w:tc>
          <w:tcPr>
            <w:tcW w:w="738" w:type="dxa"/>
            <w:tcBorders>
              <w:top w:val="single" w:color="000000" w:sz="6" w:space="0"/>
              <w:left w:val="single" w:color="000000" w:sz="6" w:space="0"/>
              <w:bottom w:val="single" w:color="000000" w:sz="6" w:space="0"/>
              <w:right w:val="single" w:color="000000" w:sz="6" w:space="0"/>
            </w:tcBorders>
            <w:vAlign w:val="center"/>
          </w:tcPr>
          <w:p w14:paraId="2B1C8896">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9567379">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vAlign w:val="center"/>
          </w:tcPr>
          <w:p w14:paraId="095C4E2D">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p>
        </w:tc>
      </w:tr>
      <w:tr w14:paraId="1AC9F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602747">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633" w:type="dxa"/>
            <w:tcBorders>
              <w:top w:val="single" w:color="000000" w:sz="6" w:space="0"/>
              <w:left w:val="single" w:color="000000" w:sz="6" w:space="0"/>
              <w:bottom w:val="single" w:color="000000" w:sz="6" w:space="0"/>
              <w:right w:val="single" w:color="000000" w:sz="6" w:space="0"/>
            </w:tcBorders>
            <w:vAlign w:val="center"/>
          </w:tcPr>
          <w:p w14:paraId="362CB35C">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简笔画</w:t>
            </w:r>
          </w:p>
        </w:tc>
        <w:tc>
          <w:tcPr>
            <w:tcW w:w="738" w:type="dxa"/>
            <w:tcBorders>
              <w:top w:val="single" w:color="000000" w:sz="6" w:space="0"/>
              <w:left w:val="single" w:color="000000" w:sz="6" w:space="0"/>
              <w:bottom w:val="single" w:color="000000" w:sz="6" w:space="0"/>
              <w:right w:val="single" w:color="000000" w:sz="6" w:space="0"/>
            </w:tcBorders>
            <w:vAlign w:val="center"/>
          </w:tcPr>
          <w:p w14:paraId="6792434D">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2E055A36">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right w:val="single" w:color="000000" w:sz="6" w:space="0"/>
            </w:tcBorders>
            <w:vAlign w:val="center"/>
          </w:tcPr>
          <w:p w14:paraId="00204756">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p>
        </w:tc>
      </w:tr>
      <w:tr w14:paraId="50BC8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5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CAF0F0">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33</w:t>
            </w:r>
          </w:p>
        </w:tc>
        <w:tc>
          <w:tcPr>
            <w:tcW w:w="2633" w:type="dxa"/>
            <w:tcBorders>
              <w:top w:val="single" w:color="000000" w:sz="6" w:space="0"/>
              <w:left w:val="single" w:color="000000" w:sz="6" w:space="0"/>
              <w:bottom w:val="single" w:color="000000" w:sz="6" w:space="0"/>
              <w:right w:val="single" w:color="000000" w:sz="6" w:space="0"/>
            </w:tcBorders>
            <w:vAlign w:val="center"/>
          </w:tcPr>
          <w:p w14:paraId="7ACA80CE">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摄影基础</w:t>
            </w:r>
          </w:p>
        </w:tc>
        <w:tc>
          <w:tcPr>
            <w:tcW w:w="738" w:type="dxa"/>
            <w:tcBorders>
              <w:top w:val="single" w:color="000000" w:sz="6" w:space="0"/>
              <w:left w:val="single" w:color="000000" w:sz="6" w:space="0"/>
              <w:bottom w:val="single" w:color="000000" w:sz="6" w:space="0"/>
              <w:right w:val="single" w:color="000000" w:sz="6" w:space="0"/>
            </w:tcBorders>
            <w:vAlign w:val="center"/>
          </w:tcPr>
          <w:p w14:paraId="529C39D2">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35AD3D55">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r>
              <w:rPr>
                <w:rFonts w:hint="eastAsia" w:ascii="宋体" w:hAnsi="宋体" w:cs="宋体"/>
                <w:sz w:val="18"/>
                <w:szCs w:val="18"/>
                <w:lang w:eastAsia="en-US"/>
              </w:rPr>
              <w:t>32</w:t>
            </w:r>
          </w:p>
        </w:tc>
        <w:tc>
          <w:tcPr>
            <w:tcW w:w="2883" w:type="dxa"/>
            <w:vMerge w:val="continue"/>
            <w:tcBorders>
              <w:left w:val="single" w:color="000000" w:sz="6" w:space="0"/>
              <w:bottom w:val="single" w:color="000000" w:sz="6" w:space="0"/>
              <w:right w:val="single" w:color="000000" w:sz="6" w:space="0"/>
            </w:tcBorders>
            <w:vAlign w:val="center"/>
          </w:tcPr>
          <w:p w14:paraId="3A7AAF9D">
            <w:pPr>
              <w:pageBreakBefore w:val="0"/>
              <w:kinsoku/>
              <w:wordWrap/>
              <w:overflowPunct/>
              <w:topLinePunct w:val="0"/>
              <w:autoSpaceDE w:val="0"/>
              <w:autoSpaceDN w:val="0"/>
              <w:bidi w:val="0"/>
              <w:snapToGrid/>
              <w:spacing w:line="360" w:lineRule="exact"/>
              <w:jc w:val="center"/>
              <w:textAlignment w:val="auto"/>
              <w:rPr>
                <w:rFonts w:ascii="宋体" w:hAnsi="宋体" w:cs="宋体"/>
                <w:sz w:val="18"/>
                <w:szCs w:val="18"/>
                <w:lang w:eastAsia="en-US"/>
              </w:rPr>
            </w:pPr>
          </w:p>
        </w:tc>
      </w:tr>
    </w:tbl>
    <w:p w14:paraId="7E1BB246">
      <w:pPr>
        <w:pStyle w:val="3"/>
        <w:pageBreakBefore w:val="0"/>
        <w:kinsoku/>
        <w:wordWrap/>
        <w:overflowPunct/>
        <w:topLinePunct w:val="0"/>
        <w:bidi w:val="0"/>
        <w:snapToGrid/>
        <w:spacing w:before="0" w:beforeLines="0" w:after="0" w:afterLines="0" w:line="360" w:lineRule="exact"/>
        <w:ind w:firstLine="482"/>
        <w:textAlignment w:val="auto"/>
        <w:rPr>
          <w:rFonts w:hint="default" w:ascii="Times New Roman" w:hAnsi="Times New Roman"/>
          <w:kern w:val="2"/>
          <w:sz w:val="24"/>
          <w:szCs w:val="24"/>
        </w:rPr>
      </w:pPr>
      <w:r>
        <w:rPr>
          <w:rFonts w:ascii="Times New Roman" w:hAnsi="Times New Roman"/>
          <w:kern w:val="2"/>
          <w:sz w:val="24"/>
          <w:szCs w:val="24"/>
        </w:rPr>
        <w:t>八、实施保障</w:t>
      </w:r>
    </w:p>
    <w:p w14:paraId="3BE9DA94">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主要包括师资队伍、教学设施、教学资源、教学方法、学习评价、质量管理等方面。</w:t>
      </w:r>
    </w:p>
    <w:p w14:paraId="092BE557">
      <w:pPr>
        <w:pageBreakBefore w:val="0"/>
        <w:kinsoku/>
        <w:wordWrap/>
        <w:overflowPunct/>
        <w:topLinePunct w:val="0"/>
        <w:bidi w:val="0"/>
        <w:adjustRightInd w:val="0"/>
        <w:snapToGrid/>
        <w:spacing w:line="360" w:lineRule="exact"/>
        <w:ind w:firstLine="422" w:firstLineChars="200"/>
        <w:textAlignment w:val="auto"/>
        <w:rPr>
          <w:b/>
          <w:bCs/>
          <w:szCs w:val="21"/>
        </w:rPr>
      </w:pPr>
      <w:bookmarkStart w:id="28" w:name="_Toc14624"/>
      <w:bookmarkStart w:id="29" w:name="_Toc10563"/>
      <w:r>
        <w:rPr>
          <w:rFonts w:hint="eastAsia"/>
          <w:b/>
          <w:bCs/>
          <w:szCs w:val="21"/>
        </w:rPr>
        <w:t>（一）师资队伍</w:t>
      </w:r>
      <w:bookmarkEnd w:id="28"/>
      <w:bookmarkEnd w:id="29"/>
    </w:p>
    <w:p w14:paraId="5272E73D">
      <w:pPr>
        <w:pageBreakBefore w:val="0"/>
        <w:kinsoku/>
        <w:wordWrap/>
        <w:overflowPunct/>
        <w:topLinePunct w:val="0"/>
        <w:bidi w:val="0"/>
        <w:adjustRightInd w:val="0"/>
        <w:snapToGrid/>
        <w:spacing w:line="360" w:lineRule="exact"/>
        <w:ind w:firstLine="422" w:firstLineChars="200"/>
        <w:textAlignment w:val="auto"/>
        <w:rPr>
          <w:rFonts w:ascii="宋体" w:hAnsi="宋体" w:cs="宋体"/>
          <w:b/>
          <w:bCs/>
          <w:szCs w:val="21"/>
        </w:rPr>
      </w:pPr>
      <w:r>
        <w:rPr>
          <w:rFonts w:hint="eastAsia" w:ascii="宋体" w:hAnsi="宋体" w:cs="宋体"/>
          <w:b/>
          <w:bCs/>
          <w:szCs w:val="21"/>
        </w:rPr>
        <w:t xml:space="preserve">1.队伍结构 </w:t>
      </w:r>
    </w:p>
    <w:p w14:paraId="369FAAA3">
      <w:pPr>
        <w:pageBreakBefore w:val="0"/>
        <w:kinsoku/>
        <w:wordWrap/>
        <w:overflowPunct/>
        <w:topLinePunct w:val="0"/>
        <w:bidi w:val="0"/>
        <w:adjustRightInd w:val="0"/>
        <w:snapToGrid/>
        <w:spacing w:line="360" w:lineRule="exact"/>
        <w:ind w:firstLine="420" w:firstLineChars="200"/>
        <w:textAlignment w:val="auto"/>
        <w:rPr>
          <w:rFonts w:ascii="宋体" w:hAnsi="宋体" w:cs="宋体"/>
          <w:szCs w:val="21"/>
        </w:rPr>
      </w:pPr>
      <w:r>
        <w:rPr>
          <w:rFonts w:ascii="宋体" w:hAnsi="宋体" w:cs="宋体"/>
          <w:szCs w:val="21"/>
        </w:rPr>
        <w:t>按照“四有好老师”“四个相统一”“四个引路人”的要求建设专业教师队伍，将师德师 风作为教师队伍建设的第一标准</w:t>
      </w:r>
      <w:r>
        <w:rPr>
          <w:rFonts w:hint="eastAsia" w:ascii="宋体" w:hAnsi="宋体" w:cs="宋体"/>
          <w:szCs w:val="21"/>
        </w:rPr>
        <w:t>。</w:t>
      </w:r>
      <w:r>
        <w:rPr>
          <w:rFonts w:hint="eastAsia"/>
          <w:szCs w:val="21"/>
        </w:rPr>
        <w:t>同时也加强教师能力建设，培养高质量高水平的教师队伍，提高教师职称水平，倡导双师型教师队伍建设。</w:t>
      </w:r>
    </w:p>
    <w:tbl>
      <w:tblPr>
        <w:tblStyle w:val="14"/>
        <w:tblW w:w="4779" w:type="pct"/>
        <w:jc w:val="center"/>
        <w:tblLayout w:type="autofit"/>
        <w:tblCellMar>
          <w:top w:w="0" w:type="dxa"/>
          <w:left w:w="108" w:type="dxa"/>
          <w:bottom w:w="0" w:type="dxa"/>
          <w:right w:w="108" w:type="dxa"/>
        </w:tblCellMar>
      </w:tblPr>
      <w:tblGrid>
        <w:gridCol w:w="1912"/>
        <w:gridCol w:w="1851"/>
        <w:gridCol w:w="1965"/>
        <w:gridCol w:w="1603"/>
        <w:gridCol w:w="1546"/>
      </w:tblGrid>
      <w:tr w14:paraId="5F1699A5">
        <w:tblPrEx>
          <w:tblCellMar>
            <w:top w:w="0" w:type="dxa"/>
            <w:left w:w="108" w:type="dxa"/>
            <w:bottom w:w="0" w:type="dxa"/>
            <w:right w:w="108" w:type="dxa"/>
          </w:tblCellMar>
        </w:tblPrEx>
        <w:trPr>
          <w:trHeight w:val="418" w:hRule="atLeast"/>
          <w:jc w:val="center"/>
        </w:trPr>
        <w:tc>
          <w:tcPr>
            <w:tcW w:w="5728" w:type="dxa"/>
            <w:gridSpan w:val="3"/>
            <w:tcBorders>
              <w:top w:val="single" w:color="000000" w:sz="4" w:space="0"/>
              <w:left w:val="single" w:color="000000" w:sz="4" w:space="0"/>
              <w:bottom w:val="single" w:color="000000" w:sz="4" w:space="0"/>
              <w:right w:val="single" w:color="auto" w:sz="4" w:space="0"/>
            </w:tcBorders>
            <w:vAlign w:val="center"/>
          </w:tcPr>
          <w:p w14:paraId="04DB2C98">
            <w:pPr>
              <w:pageBreakBefore w:val="0"/>
              <w:kinsoku/>
              <w:wordWrap/>
              <w:overflowPunct/>
              <w:topLinePunct w:val="0"/>
              <w:bidi w:val="0"/>
              <w:adjustRightInd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专业课程教师配置总数：</w:t>
            </w:r>
            <w:r>
              <w:rPr>
                <w:rFonts w:hint="eastAsia" w:ascii="宋体" w:hAnsi="宋体" w:cs="宋体"/>
                <w:b/>
                <w:bCs/>
                <w:sz w:val="21"/>
                <w:szCs w:val="21"/>
                <w:lang w:val="en-US" w:eastAsia="zh-CN"/>
              </w:rPr>
              <w:t>6</w:t>
            </w:r>
            <w:r>
              <w:rPr>
                <w:rFonts w:hint="eastAsia" w:ascii="宋体" w:hAnsi="宋体" w:cs="宋体"/>
                <w:b/>
                <w:bCs/>
                <w:sz w:val="21"/>
                <w:szCs w:val="21"/>
              </w:rPr>
              <w:t>人</w:t>
            </w:r>
          </w:p>
        </w:tc>
        <w:tc>
          <w:tcPr>
            <w:tcW w:w="3149" w:type="dxa"/>
            <w:gridSpan w:val="2"/>
            <w:tcBorders>
              <w:top w:val="single" w:color="000000" w:sz="4" w:space="0"/>
              <w:left w:val="single" w:color="auto" w:sz="4" w:space="0"/>
              <w:bottom w:val="single" w:color="000000" w:sz="4" w:space="0"/>
              <w:right w:val="single" w:color="000000" w:sz="4" w:space="0"/>
            </w:tcBorders>
            <w:vAlign w:val="center"/>
          </w:tcPr>
          <w:p w14:paraId="252FC07D">
            <w:pPr>
              <w:pageBreakBefore w:val="0"/>
              <w:kinsoku/>
              <w:wordWrap/>
              <w:overflowPunct/>
              <w:topLinePunct w:val="0"/>
              <w:bidi w:val="0"/>
              <w:adjustRightInd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师生比：1:19</w:t>
            </w:r>
          </w:p>
        </w:tc>
      </w:tr>
      <w:tr w14:paraId="2A0EC224">
        <w:tblPrEx>
          <w:tblCellMar>
            <w:top w:w="0" w:type="dxa"/>
            <w:left w:w="108" w:type="dxa"/>
            <w:bottom w:w="0" w:type="dxa"/>
            <w:right w:w="108" w:type="dxa"/>
          </w:tblCellMar>
        </w:tblPrEx>
        <w:trPr>
          <w:trHeight w:val="360" w:hRule="atLeast"/>
          <w:jc w:val="center"/>
        </w:trPr>
        <w:tc>
          <w:tcPr>
            <w:tcW w:w="1912" w:type="dxa"/>
            <w:tcBorders>
              <w:top w:val="single" w:color="000000" w:sz="4" w:space="0"/>
              <w:left w:val="single" w:color="000000" w:sz="4" w:space="0"/>
              <w:bottom w:val="single" w:color="000000" w:sz="4" w:space="0"/>
              <w:right w:val="single" w:color="auto" w:sz="4" w:space="0"/>
            </w:tcBorders>
            <w:vAlign w:val="center"/>
          </w:tcPr>
          <w:p w14:paraId="36A8C0F5">
            <w:pPr>
              <w:pageBreakBefore w:val="0"/>
              <w:kinsoku/>
              <w:wordWrap/>
              <w:overflowPunct/>
              <w:topLinePunct w:val="0"/>
              <w:bidi w:val="0"/>
              <w:adjustRightInd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结构类型</w:t>
            </w:r>
          </w:p>
        </w:tc>
        <w:tc>
          <w:tcPr>
            <w:tcW w:w="1851" w:type="dxa"/>
            <w:tcBorders>
              <w:top w:val="single" w:color="000000" w:sz="4" w:space="0"/>
              <w:left w:val="single" w:color="auto" w:sz="4" w:space="0"/>
              <w:bottom w:val="single" w:color="000000" w:sz="4" w:space="0"/>
              <w:right w:val="single" w:color="auto" w:sz="4" w:space="0"/>
            </w:tcBorders>
            <w:vAlign w:val="center"/>
          </w:tcPr>
          <w:p w14:paraId="77EF1796">
            <w:pPr>
              <w:pageBreakBefore w:val="0"/>
              <w:kinsoku/>
              <w:wordWrap/>
              <w:overflowPunct/>
              <w:topLinePunct w:val="0"/>
              <w:bidi w:val="0"/>
              <w:adjustRightInd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类别</w:t>
            </w:r>
          </w:p>
        </w:tc>
        <w:tc>
          <w:tcPr>
            <w:tcW w:w="1965" w:type="dxa"/>
            <w:tcBorders>
              <w:top w:val="single" w:color="000000" w:sz="4" w:space="0"/>
              <w:left w:val="single" w:color="auto" w:sz="4" w:space="0"/>
              <w:bottom w:val="single" w:color="000000" w:sz="4" w:space="0"/>
              <w:right w:val="single" w:color="000000" w:sz="4" w:space="0"/>
            </w:tcBorders>
            <w:vAlign w:val="center"/>
          </w:tcPr>
          <w:p w14:paraId="6EB4F18E">
            <w:pPr>
              <w:pageBreakBefore w:val="0"/>
              <w:kinsoku/>
              <w:wordWrap/>
              <w:overflowPunct/>
              <w:topLinePunct w:val="0"/>
              <w:bidi w:val="0"/>
              <w:adjustRightInd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人数</w:t>
            </w:r>
          </w:p>
        </w:tc>
        <w:tc>
          <w:tcPr>
            <w:tcW w:w="1603" w:type="dxa"/>
            <w:tcBorders>
              <w:top w:val="single" w:color="000000" w:sz="4" w:space="0"/>
              <w:left w:val="single" w:color="000000" w:sz="4" w:space="0"/>
              <w:bottom w:val="single" w:color="000000" w:sz="4" w:space="0"/>
              <w:right w:val="single" w:color="000000" w:sz="4" w:space="0"/>
            </w:tcBorders>
            <w:vAlign w:val="center"/>
          </w:tcPr>
          <w:p w14:paraId="2417308D">
            <w:pPr>
              <w:pageBreakBefore w:val="0"/>
              <w:kinsoku/>
              <w:wordWrap/>
              <w:overflowPunct/>
              <w:topLinePunct w:val="0"/>
              <w:bidi w:val="0"/>
              <w:adjustRightInd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比例（%)</w:t>
            </w:r>
          </w:p>
        </w:tc>
        <w:tc>
          <w:tcPr>
            <w:tcW w:w="1546" w:type="dxa"/>
            <w:tcBorders>
              <w:top w:val="single" w:color="000000" w:sz="4" w:space="0"/>
              <w:left w:val="single" w:color="000000" w:sz="4" w:space="0"/>
              <w:bottom w:val="single" w:color="000000" w:sz="4" w:space="0"/>
              <w:right w:val="single" w:color="000000" w:sz="4" w:space="0"/>
            </w:tcBorders>
            <w:vAlign w:val="center"/>
          </w:tcPr>
          <w:p w14:paraId="0871C390">
            <w:pPr>
              <w:pageBreakBefore w:val="0"/>
              <w:kinsoku/>
              <w:wordWrap/>
              <w:overflowPunct/>
              <w:topLinePunct w:val="0"/>
              <w:bidi w:val="0"/>
              <w:adjustRightInd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备注</w:t>
            </w:r>
          </w:p>
        </w:tc>
      </w:tr>
      <w:tr w14:paraId="68242F1C">
        <w:tblPrEx>
          <w:tblCellMar>
            <w:top w:w="0" w:type="dxa"/>
            <w:left w:w="108" w:type="dxa"/>
            <w:bottom w:w="0" w:type="dxa"/>
            <w:right w:w="108" w:type="dxa"/>
          </w:tblCellMar>
        </w:tblPrEx>
        <w:trPr>
          <w:trHeight w:val="360" w:hRule="atLeast"/>
          <w:jc w:val="center"/>
        </w:trPr>
        <w:tc>
          <w:tcPr>
            <w:tcW w:w="1912" w:type="dxa"/>
            <w:vMerge w:val="restart"/>
            <w:tcBorders>
              <w:top w:val="single" w:color="000000" w:sz="4" w:space="0"/>
              <w:left w:val="single" w:color="000000" w:sz="4" w:space="0"/>
              <w:bottom w:val="single" w:color="000000" w:sz="4" w:space="0"/>
              <w:right w:val="single" w:color="000000" w:sz="4" w:space="0"/>
            </w:tcBorders>
            <w:vAlign w:val="center"/>
          </w:tcPr>
          <w:p w14:paraId="481045D6">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职称结构</w:t>
            </w:r>
          </w:p>
        </w:tc>
        <w:tc>
          <w:tcPr>
            <w:tcW w:w="1851" w:type="dxa"/>
            <w:tcBorders>
              <w:top w:val="single" w:color="000000" w:sz="4" w:space="0"/>
              <w:left w:val="single" w:color="000000" w:sz="4" w:space="0"/>
              <w:bottom w:val="single" w:color="000000" w:sz="4" w:space="0"/>
              <w:right w:val="single" w:color="000000" w:sz="4" w:space="0"/>
            </w:tcBorders>
            <w:vAlign w:val="center"/>
          </w:tcPr>
          <w:p w14:paraId="3679B369">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教授</w:t>
            </w:r>
          </w:p>
        </w:tc>
        <w:tc>
          <w:tcPr>
            <w:tcW w:w="1965" w:type="dxa"/>
            <w:tcBorders>
              <w:top w:val="single" w:color="000000" w:sz="4" w:space="0"/>
              <w:left w:val="single" w:color="000000" w:sz="4" w:space="0"/>
              <w:bottom w:val="single" w:color="000000" w:sz="4" w:space="0"/>
              <w:right w:val="single" w:color="000000" w:sz="4" w:space="0"/>
            </w:tcBorders>
            <w:vAlign w:val="center"/>
          </w:tcPr>
          <w:p w14:paraId="29F906CB">
            <w:pPr>
              <w:pageBreakBefore w:val="0"/>
              <w:kinsoku/>
              <w:wordWrap/>
              <w:overflowPunct/>
              <w:topLinePunct w:val="0"/>
              <w:bidi w:val="0"/>
              <w:adjustRightInd w:val="0"/>
              <w:snapToGrid/>
              <w:spacing w:line="360" w:lineRule="exact"/>
              <w:jc w:val="center"/>
              <w:textAlignment w:val="auto"/>
              <w:rPr>
                <w:rFonts w:ascii="宋体" w:hAnsi="宋体" w:cs="宋体"/>
                <w:sz w:val="18"/>
                <w:szCs w:val="18"/>
              </w:rPr>
            </w:pPr>
            <w:r>
              <w:rPr>
                <w:rFonts w:hint="eastAsia" w:ascii="宋体" w:hAnsi="宋体" w:cs="宋体"/>
                <w:sz w:val="18"/>
                <w:szCs w:val="18"/>
              </w:rPr>
              <w:t>1</w:t>
            </w:r>
          </w:p>
        </w:tc>
        <w:tc>
          <w:tcPr>
            <w:tcW w:w="1603" w:type="dxa"/>
            <w:tcBorders>
              <w:top w:val="single" w:color="000000" w:sz="4" w:space="0"/>
              <w:left w:val="single" w:color="000000" w:sz="4" w:space="0"/>
              <w:bottom w:val="single" w:color="000000" w:sz="4" w:space="0"/>
              <w:right w:val="single" w:color="000000" w:sz="4" w:space="0"/>
            </w:tcBorders>
            <w:vAlign w:val="center"/>
          </w:tcPr>
          <w:p w14:paraId="62DC2AE7">
            <w:pPr>
              <w:pageBreakBefore w:val="0"/>
              <w:kinsoku/>
              <w:wordWrap/>
              <w:overflowPunct/>
              <w:topLinePunct w:val="0"/>
              <w:bidi w:val="0"/>
              <w:adjustRightInd w:val="0"/>
              <w:snapToGrid/>
              <w:spacing w:line="360" w:lineRule="exact"/>
              <w:jc w:val="center"/>
              <w:textAlignment w:val="auto"/>
              <w:rPr>
                <w:rFonts w:ascii="宋体" w:hAnsi="宋体" w:cs="宋体"/>
                <w:sz w:val="18"/>
                <w:szCs w:val="18"/>
              </w:rPr>
            </w:pPr>
            <w:r>
              <w:rPr>
                <w:rFonts w:hint="eastAsia" w:ascii="宋体" w:hAnsi="宋体" w:cs="宋体"/>
                <w:sz w:val="18"/>
                <w:szCs w:val="18"/>
              </w:rPr>
              <w:t>16%</w:t>
            </w:r>
          </w:p>
        </w:tc>
        <w:tc>
          <w:tcPr>
            <w:tcW w:w="1546" w:type="dxa"/>
            <w:tcBorders>
              <w:top w:val="single" w:color="000000" w:sz="4" w:space="0"/>
              <w:left w:val="single" w:color="000000" w:sz="4" w:space="0"/>
              <w:bottom w:val="single" w:color="000000" w:sz="4" w:space="0"/>
              <w:right w:val="single" w:color="000000" w:sz="4" w:space="0"/>
            </w:tcBorders>
          </w:tcPr>
          <w:p w14:paraId="7CD81637">
            <w:pPr>
              <w:pageBreakBefore w:val="0"/>
              <w:kinsoku/>
              <w:wordWrap/>
              <w:overflowPunct/>
              <w:topLinePunct w:val="0"/>
              <w:bidi w:val="0"/>
              <w:adjustRightInd w:val="0"/>
              <w:snapToGrid/>
              <w:spacing w:line="360" w:lineRule="exact"/>
              <w:jc w:val="center"/>
              <w:textAlignment w:val="auto"/>
              <w:rPr>
                <w:rFonts w:ascii="宋体" w:hAnsi="宋体" w:cs="宋体"/>
                <w:sz w:val="18"/>
                <w:szCs w:val="18"/>
              </w:rPr>
            </w:pPr>
          </w:p>
        </w:tc>
      </w:tr>
      <w:tr w14:paraId="68FEF2C8">
        <w:tblPrEx>
          <w:tblCellMar>
            <w:top w:w="0" w:type="dxa"/>
            <w:left w:w="108" w:type="dxa"/>
            <w:bottom w:w="0" w:type="dxa"/>
            <w:right w:w="108" w:type="dxa"/>
          </w:tblCellMar>
        </w:tblPrEx>
        <w:trPr>
          <w:trHeight w:val="360" w:hRule="atLeast"/>
          <w:jc w:val="center"/>
        </w:trPr>
        <w:tc>
          <w:tcPr>
            <w:tcW w:w="1912" w:type="dxa"/>
            <w:vMerge w:val="continue"/>
            <w:tcBorders>
              <w:top w:val="single" w:color="000000" w:sz="4" w:space="0"/>
              <w:left w:val="single" w:color="000000" w:sz="4" w:space="0"/>
              <w:bottom w:val="single" w:color="000000" w:sz="4" w:space="0"/>
              <w:right w:val="single" w:color="000000" w:sz="4" w:space="0"/>
            </w:tcBorders>
            <w:vAlign w:val="center"/>
          </w:tcPr>
          <w:p w14:paraId="6919313B">
            <w:pPr>
              <w:pageBreakBefore w:val="0"/>
              <w:kinsoku/>
              <w:wordWrap/>
              <w:overflowPunct/>
              <w:topLinePunct w:val="0"/>
              <w:bidi w:val="0"/>
              <w:snapToGrid/>
              <w:spacing w:line="360" w:lineRule="exact"/>
              <w:textAlignment w:val="auto"/>
              <w:rPr>
                <w:rFonts w:ascii="宋体" w:hAnsi="宋体" w:cs="宋体"/>
                <w:sz w:val="18"/>
                <w:szCs w:val="18"/>
              </w:rPr>
            </w:pPr>
          </w:p>
        </w:tc>
        <w:tc>
          <w:tcPr>
            <w:tcW w:w="1851" w:type="dxa"/>
            <w:tcBorders>
              <w:top w:val="single" w:color="000000" w:sz="4" w:space="0"/>
              <w:left w:val="single" w:color="000000" w:sz="4" w:space="0"/>
              <w:bottom w:val="single" w:color="000000" w:sz="4" w:space="0"/>
              <w:right w:val="single" w:color="000000" w:sz="4" w:space="0"/>
            </w:tcBorders>
            <w:vAlign w:val="center"/>
          </w:tcPr>
          <w:p w14:paraId="74DE0E0A">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副教授</w:t>
            </w:r>
          </w:p>
        </w:tc>
        <w:tc>
          <w:tcPr>
            <w:tcW w:w="1965" w:type="dxa"/>
            <w:tcBorders>
              <w:top w:val="single" w:color="000000" w:sz="4" w:space="0"/>
              <w:left w:val="single" w:color="000000" w:sz="4" w:space="0"/>
              <w:bottom w:val="single" w:color="000000" w:sz="4" w:space="0"/>
              <w:right w:val="single" w:color="000000" w:sz="4" w:space="0"/>
            </w:tcBorders>
            <w:vAlign w:val="center"/>
          </w:tcPr>
          <w:p w14:paraId="0AD36B31">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1</w:t>
            </w:r>
          </w:p>
        </w:tc>
        <w:tc>
          <w:tcPr>
            <w:tcW w:w="1603" w:type="dxa"/>
            <w:tcBorders>
              <w:top w:val="single" w:color="000000" w:sz="4" w:space="0"/>
              <w:left w:val="single" w:color="000000" w:sz="4" w:space="0"/>
              <w:bottom w:val="single" w:color="000000" w:sz="4" w:space="0"/>
              <w:right w:val="single" w:color="000000" w:sz="4" w:space="0"/>
            </w:tcBorders>
            <w:vAlign w:val="center"/>
          </w:tcPr>
          <w:p w14:paraId="16B39156">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16%</w:t>
            </w:r>
          </w:p>
        </w:tc>
        <w:tc>
          <w:tcPr>
            <w:tcW w:w="1546" w:type="dxa"/>
            <w:tcBorders>
              <w:top w:val="single" w:color="000000" w:sz="4" w:space="0"/>
              <w:left w:val="single" w:color="000000" w:sz="4" w:space="0"/>
              <w:bottom w:val="single" w:color="000000" w:sz="4" w:space="0"/>
              <w:right w:val="single" w:color="000000" w:sz="4" w:space="0"/>
            </w:tcBorders>
          </w:tcPr>
          <w:p w14:paraId="0195AEBF">
            <w:pPr>
              <w:pageBreakBefore w:val="0"/>
              <w:kinsoku/>
              <w:wordWrap/>
              <w:overflowPunct/>
              <w:topLinePunct w:val="0"/>
              <w:bidi w:val="0"/>
              <w:snapToGrid/>
              <w:spacing w:line="360" w:lineRule="exact"/>
              <w:jc w:val="left"/>
              <w:textAlignment w:val="auto"/>
              <w:rPr>
                <w:rFonts w:ascii="宋体" w:hAnsi="宋体" w:cs="宋体"/>
                <w:sz w:val="18"/>
                <w:szCs w:val="18"/>
              </w:rPr>
            </w:pPr>
          </w:p>
        </w:tc>
      </w:tr>
      <w:tr w14:paraId="2916A0D1">
        <w:tblPrEx>
          <w:tblCellMar>
            <w:top w:w="0" w:type="dxa"/>
            <w:left w:w="108" w:type="dxa"/>
            <w:bottom w:w="0" w:type="dxa"/>
            <w:right w:w="108" w:type="dxa"/>
          </w:tblCellMar>
        </w:tblPrEx>
        <w:trPr>
          <w:trHeight w:val="360" w:hRule="atLeast"/>
          <w:jc w:val="center"/>
        </w:trPr>
        <w:tc>
          <w:tcPr>
            <w:tcW w:w="1912" w:type="dxa"/>
            <w:vMerge w:val="continue"/>
            <w:tcBorders>
              <w:top w:val="single" w:color="000000" w:sz="4" w:space="0"/>
              <w:left w:val="single" w:color="000000" w:sz="4" w:space="0"/>
              <w:bottom w:val="single" w:color="000000" w:sz="4" w:space="0"/>
              <w:right w:val="single" w:color="000000" w:sz="4" w:space="0"/>
            </w:tcBorders>
            <w:vAlign w:val="center"/>
          </w:tcPr>
          <w:p w14:paraId="7FE50B05">
            <w:pPr>
              <w:pageBreakBefore w:val="0"/>
              <w:kinsoku/>
              <w:wordWrap/>
              <w:overflowPunct/>
              <w:topLinePunct w:val="0"/>
              <w:bidi w:val="0"/>
              <w:snapToGrid/>
              <w:spacing w:line="360" w:lineRule="exact"/>
              <w:textAlignment w:val="auto"/>
              <w:rPr>
                <w:rFonts w:ascii="宋体" w:hAnsi="宋体" w:cs="宋体"/>
                <w:sz w:val="18"/>
                <w:szCs w:val="18"/>
              </w:rPr>
            </w:pPr>
          </w:p>
        </w:tc>
        <w:tc>
          <w:tcPr>
            <w:tcW w:w="1851" w:type="dxa"/>
            <w:tcBorders>
              <w:top w:val="single" w:color="000000" w:sz="4" w:space="0"/>
              <w:left w:val="single" w:color="000000" w:sz="4" w:space="0"/>
              <w:bottom w:val="single" w:color="000000" w:sz="4" w:space="0"/>
              <w:right w:val="single" w:color="000000" w:sz="4" w:space="0"/>
            </w:tcBorders>
            <w:vAlign w:val="center"/>
          </w:tcPr>
          <w:p w14:paraId="7126D1EB">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讲师</w:t>
            </w:r>
          </w:p>
        </w:tc>
        <w:tc>
          <w:tcPr>
            <w:tcW w:w="1965" w:type="dxa"/>
            <w:tcBorders>
              <w:top w:val="single" w:color="000000" w:sz="4" w:space="0"/>
              <w:left w:val="single" w:color="000000" w:sz="4" w:space="0"/>
              <w:bottom w:val="single" w:color="000000" w:sz="4" w:space="0"/>
              <w:right w:val="single" w:color="000000" w:sz="4" w:space="0"/>
            </w:tcBorders>
            <w:vAlign w:val="center"/>
          </w:tcPr>
          <w:p w14:paraId="720682D1">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2</w:t>
            </w:r>
          </w:p>
        </w:tc>
        <w:tc>
          <w:tcPr>
            <w:tcW w:w="1603" w:type="dxa"/>
            <w:tcBorders>
              <w:top w:val="single" w:color="000000" w:sz="4" w:space="0"/>
              <w:left w:val="single" w:color="000000" w:sz="4" w:space="0"/>
              <w:bottom w:val="single" w:color="000000" w:sz="4" w:space="0"/>
              <w:right w:val="single" w:color="000000" w:sz="4" w:space="0"/>
            </w:tcBorders>
            <w:vAlign w:val="center"/>
          </w:tcPr>
          <w:p w14:paraId="073CC167">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33%</w:t>
            </w:r>
          </w:p>
        </w:tc>
        <w:tc>
          <w:tcPr>
            <w:tcW w:w="1546" w:type="dxa"/>
            <w:tcBorders>
              <w:top w:val="single" w:color="000000" w:sz="4" w:space="0"/>
              <w:left w:val="single" w:color="000000" w:sz="4" w:space="0"/>
              <w:bottom w:val="single" w:color="000000" w:sz="4" w:space="0"/>
              <w:right w:val="single" w:color="000000" w:sz="4" w:space="0"/>
            </w:tcBorders>
          </w:tcPr>
          <w:p w14:paraId="180D8AF7">
            <w:pPr>
              <w:pageBreakBefore w:val="0"/>
              <w:kinsoku/>
              <w:wordWrap/>
              <w:overflowPunct/>
              <w:topLinePunct w:val="0"/>
              <w:bidi w:val="0"/>
              <w:snapToGrid/>
              <w:spacing w:line="360" w:lineRule="exact"/>
              <w:jc w:val="left"/>
              <w:textAlignment w:val="auto"/>
              <w:rPr>
                <w:rFonts w:ascii="宋体" w:hAnsi="宋体" w:cs="宋体"/>
                <w:sz w:val="18"/>
                <w:szCs w:val="18"/>
              </w:rPr>
            </w:pPr>
          </w:p>
        </w:tc>
      </w:tr>
      <w:tr w14:paraId="103167C9">
        <w:tblPrEx>
          <w:tblCellMar>
            <w:top w:w="0" w:type="dxa"/>
            <w:left w:w="108" w:type="dxa"/>
            <w:bottom w:w="0" w:type="dxa"/>
            <w:right w:w="108" w:type="dxa"/>
          </w:tblCellMar>
        </w:tblPrEx>
        <w:trPr>
          <w:trHeight w:val="360" w:hRule="atLeast"/>
          <w:jc w:val="center"/>
        </w:trPr>
        <w:tc>
          <w:tcPr>
            <w:tcW w:w="1912" w:type="dxa"/>
            <w:vMerge w:val="continue"/>
            <w:tcBorders>
              <w:top w:val="single" w:color="000000" w:sz="4" w:space="0"/>
              <w:left w:val="single" w:color="000000" w:sz="4" w:space="0"/>
              <w:bottom w:val="single" w:color="000000" w:sz="4" w:space="0"/>
              <w:right w:val="single" w:color="000000" w:sz="4" w:space="0"/>
            </w:tcBorders>
            <w:vAlign w:val="center"/>
          </w:tcPr>
          <w:p w14:paraId="09B12E18">
            <w:pPr>
              <w:pageBreakBefore w:val="0"/>
              <w:kinsoku/>
              <w:wordWrap/>
              <w:overflowPunct/>
              <w:topLinePunct w:val="0"/>
              <w:bidi w:val="0"/>
              <w:snapToGrid/>
              <w:spacing w:line="360" w:lineRule="exact"/>
              <w:textAlignment w:val="auto"/>
              <w:rPr>
                <w:rFonts w:ascii="宋体" w:hAnsi="宋体" w:cs="宋体"/>
                <w:sz w:val="18"/>
                <w:szCs w:val="18"/>
              </w:rPr>
            </w:pPr>
          </w:p>
        </w:tc>
        <w:tc>
          <w:tcPr>
            <w:tcW w:w="1851" w:type="dxa"/>
            <w:tcBorders>
              <w:top w:val="single" w:color="000000" w:sz="4" w:space="0"/>
              <w:left w:val="single" w:color="000000" w:sz="4" w:space="0"/>
              <w:bottom w:val="single" w:color="000000" w:sz="4" w:space="0"/>
              <w:right w:val="single" w:color="000000" w:sz="4" w:space="0"/>
            </w:tcBorders>
            <w:vAlign w:val="center"/>
          </w:tcPr>
          <w:p w14:paraId="0B7AC504">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初级</w:t>
            </w:r>
          </w:p>
        </w:tc>
        <w:tc>
          <w:tcPr>
            <w:tcW w:w="1965" w:type="dxa"/>
            <w:tcBorders>
              <w:top w:val="single" w:color="000000" w:sz="4" w:space="0"/>
              <w:left w:val="single" w:color="000000" w:sz="4" w:space="0"/>
              <w:bottom w:val="single" w:color="000000" w:sz="4" w:space="0"/>
              <w:right w:val="single" w:color="000000" w:sz="4" w:space="0"/>
            </w:tcBorders>
            <w:vAlign w:val="center"/>
          </w:tcPr>
          <w:p w14:paraId="685D8AF4">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2</w:t>
            </w:r>
          </w:p>
        </w:tc>
        <w:tc>
          <w:tcPr>
            <w:tcW w:w="1603" w:type="dxa"/>
            <w:tcBorders>
              <w:top w:val="single" w:color="000000" w:sz="4" w:space="0"/>
              <w:left w:val="single" w:color="000000" w:sz="4" w:space="0"/>
              <w:bottom w:val="single" w:color="000000" w:sz="4" w:space="0"/>
              <w:right w:val="single" w:color="000000" w:sz="4" w:space="0"/>
            </w:tcBorders>
            <w:vAlign w:val="center"/>
          </w:tcPr>
          <w:p w14:paraId="06750B36">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33%</w:t>
            </w:r>
          </w:p>
        </w:tc>
        <w:tc>
          <w:tcPr>
            <w:tcW w:w="1546" w:type="dxa"/>
            <w:tcBorders>
              <w:top w:val="single" w:color="000000" w:sz="4" w:space="0"/>
              <w:left w:val="single" w:color="000000" w:sz="4" w:space="0"/>
              <w:bottom w:val="single" w:color="000000" w:sz="4" w:space="0"/>
              <w:right w:val="single" w:color="000000" w:sz="4" w:space="0"/>
            </w:tcBorders>
          </w:tcPr>
          <w:p w14:paraId="559B72A6">
            <w:pPr>
              <w:pageBreakBefore w:val="0"/>
              <w:kinsoku/>
              <w:wordWrap/>
              <w:overflowPunct/>
              <w:topLinePunct w:val="0"/>
              <w:bidi w:val="0"/>
              <w:snapToGrid/>
              <w:spacing w:line="360" w:lineRule="exact"/>
              <w:jc w:val="left"/>
              <w:textAlignment w:val="auto"/>
              <w:rPr>
                <w:rFonts w:ascii="宋体" w:hAnsi="宋体" w:cs="宋体"/>
                <w:sz w:val="18"/>
                <w:szCs w:val="18"/>
              </w:rPr>
            </w:pPr>
          </w:p>
        </w:tc>
      </w:tr>
      <w:tr w14:paraId="73B00E95">
        <w:tblPrEx>
          <w:tblCellMar>
            <w:top w:w="0" w:type="dxa"/>
            <w:left w:w="108" w:type="dxa"/>
            <w:bottom w:w="0" w:type="dxa"/>
            <w:right w:w="108" w:type="dxa"/>
          </w:tblCellMar>
        </w:tblPrEx>
        <w:trPr>
          <w:trHeight w:val="360" w:hRule="atLeast"/>
          <w:jc w:val="center"/>
        </w:trPr>
        <w:tc>
          <w:tcPr>
            <w:tcW w:w="1912" w:type="dxa"/>
            <w:vMerge w:val="restart"/>
            <w:tcBorders>
              <w:top w:val="single" w:color="000000" w:sz="4" w:space="0"/>
              <w:left w:val="single" w:color="000000" w:sz="4" w:space="0"/>
              <w:bottom w:val="single" w:color="000000" w:sz="4" w:space="0"/>
              <w:right w:val="single" w:color="000000" w:sz="4" w:space="0"/>
            </w:tcBorders>
            <w:vAlign w:val="center"/>
          </w:tcPr>
          <w:p w14:paraId="41894FA5">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学位结构</w:t>
            </w:r>
          </w:p>
        </w:tc>
        <w:tc>
          <w:tcPr>
            <w:tcW w:w="1851" w:type="dxa"/>
            <w:tcBorders>
              <w:top w:val="single" w:color="000000" w:sz="4" w:space="0"/>
              <w:left w:val="single" w:color="000000" w:sz="4" w:space="0"/>
              <w:bottom w:val="single" w:color="000000" w:sz="4" w:space="0"/>
              <w:right w:val="single" w:color="000000" w:sz="4" w:space="0"/>
            </w:tcBorders>
            <w:vAlign w:val="center"/>
          </w:tcPr>
          <w:p w14:paraId="701D7550">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博士</w:t>
            </w:r>
          </w:p>
        </w:tc>
        <w:tc>
          <w:tcPr>
            <w:tcW w:w="1965" w:type="dxa"/>
            <w:tcBorders>
              <w:top w:val="single" w:color="000000" w:sz="4" w:space="0"/>
              <w:left w:val="single" w:color="000000" w:sz="4" w:space="0"/>
              <w:bottom w:val="single" w:color="000000" w:sz="4" w:space="0"/>
              <w:right w:val="single" w:color="000000" w:sz="4" w:space="0"/>
            </w:tcBorders>
            <w:vAlign w:val="center"/>
          </w:tcPr>
          <w:p w14:paraId="196681B0">
            <w:pPr>
              <w:pageBreakBefore w:val="0"/>
              <w:kinsoku/>
              <w:wordWrap/>
              <w:overflowPunct/>
              <w:topLinePunct w:val="0"/>
              <w:bidi w:val="0"/>
              <w:adjustRightInd w:val="0"/>
              <w:snapToGrid/>
              <w:spacing w:line="360" w:lineRule="exact"/>
              <w:jc w:val="center"/>
              <w:textAlignment w:val="auto"/>
              <w:rPr>
                <w:rFonts w:ascii="宋体" w:hAnsi="宋体" w:cs="宋体"/>
                <w:sz w:val="18"/>
                <w:szCs w:val="18"/>
              </w:rPr>
            </w:pPr>
          </w:p>
        </w:tc>
        <w:tc>
          <w:tcPr>
            <w:tcW w:w="1603" w:type="dxa"/>
            <w:tcBorders>
              <w:top w:val="single" w:color="000000" w:sz="4" w:space="0"/>
              <w:left w:val="single" w:color="000000" w:sz="4" w:space="0"/>
              <w:bottom w:val="single" w:color="000000" w:sz="4" w:space="0"/>
              <w:right w:val="single" w:color="000000" w:sz="4" w:space="0"/>
            </w:tcBorders>
            <w:vAlign w:val="center"/>
          </w:tcPr>
          <w:p w14:paraId="25231F6E">
            <w:pPr>
              <w:pageBreakBefore w:val="0"/>
              <w:kinsoku/>
              <w:wordWrap/>
              <w:overflowPunct/>
              <w:topLinePunct w:val="0"/>
              <w:bidi w:val="0"/>
              <w:adjustRightInd w:val="0"/>
              <w:snapToGrid/>
              <w:spacing w:line="360" w:lineRule="exact"/>
              <w:jc w:val="center"/>
              <w:textAlignment w:val="auto"/>
              <w:rPr>
                <w:rFonts w:ascii="宋体" w:hAnsi="宋体" w:cs="宋体"/>
                <w:sz w:val="18"/>
                <w:szCs w:val="18"/>
              </w:rPr>
            </w:pPr>
          </w:p>
        </w:tc>
        <w:tc>
          <w:tcPr>
            <w:tcW w:w="1546" w:type="dxa"/>
            <w:tcBorders>
              <w:top w:val="single" w:color="000000" w:sz="4" w:space="0"/>
              <w:left w:val="single" w:color="000000" w:sz="4" w:space="0"/>
              <w:bottom w:val="single" w:color="000000" w:sz="4" w:space="0"/>
              <w:right w:val="single" w:color="000000" w:sz="4" w:space="0"/>
            </w:tcBorders>
          </w:tcPr>
          <w:p w14:paraId="44C4E051">
            <w:pPr>
              <w:pageBreakBefore w:val="0"/>
              <w:kinsoku/>
              <w:wordWrap/>
              <w:overflowPunct/>
              <w:topLinePunct w:val="0"/>
              <w:bidi w:val="0"/>
              <w:adjustRightInd w:val="0"/>
              <w:snapToGrid/>
              <w:spacing w:line="360" w:lineRule="exact"/>
              <w:jc w:val="center"/>
              <w:textAlignment w:val="auto"/>
              <w:rPr>
                <w:rFonts w:ascii="宋体" w:hAnsi="宋体" w:cs="宋体"/>
                <w:sz w:val="18"/>
                <w:szCs w:val="18"/>
              </w:rPr>
            </w:pPr>
          </w:p>
        </w:tc>
      </w:tr>
      <w:tr w14:paraId="781DDFF1">
        <w:tblPrEx>
          <w:tblCellMar>
            <w:top w:w="0" w:type="dxa"/>
            <w:left w:w="108" w:type="dxa"/>
            <w:bottom w:w="0" w:type="dxa"/>
            <w:right w:w="108" w:type="dxa"/>
          </w:tblCellMar>
        </w:tblPrEx>
        <w:trPr>
          <w:trHeight w:val="360" w:hRule="atLeast"/>
          <w:jc w:val="center"/>
        </w:trPr>
        <w:tc>
          <w:tcPr>
            <w:tcW w:w="1912" w:type="dxa"/>
            <w:vMerge w:val="continue"/>
            <w:tcBorders>
              <w:top w:val="single" w:color="000000" w:sz="4" w:space="0"/>
              <w:left w:val="single" w:color="000000" w:sz="4" w:space="0"/>
              <w:bottom w:val="single" w:color="000000" w:sz="4" w:space="0"/>
              <w:right w:val="single" w:color="000000" w:sz="4" w:space="0"/>
            </w:tcBorders>
            <w:vAlign w:val="center"/>
          </w:tcPr>
          <w:p w14:paraId="091D0FA4">
            <w:pPr>
              <w:pageBreakBefore w:val="0"/>
              <w:kinsoku/>
              <w:wordWrap/>
              <w:overflowPunct/>
              <w:topLinePunct w:val="0"/>
              <w:bidi w:val="0"/>
              <w:snapToGrid/>
              <w:spacing w:line="360" w:lineRule="exact"/>
              <w:textAlignment w:val="auto"/>
              <w:rPr>
                <w:rFonts w:ascii="宋体" w:hAnsi="宋体" w:cs="宋体"/>
                <w:sz w:val="18"/>
                <w:szCs w:val="18"/>
              </w:rPr>
            </w:pPr>
          </w:p>
        </w:tc>
        <w:tc>
          <w:tcPr>
            <w:tcW w:w="1851" w:type="dxa"/>
            <w:tcBorders>
              <w:top w:val="single" w:color="000000" w:sz="4" w:space="0"/>
              <w:left w:val="single" w:color="000000" w:sz="4" w:space="0"/>
              <w:bottom w:val="single" w:color="000000" w:sz="4" w:space="0"/>
              <w:right w:val="single" w:color="000000" w:sz="4" w:space="0"/>
            </w:tcBorders>
            <w:vAlign w:val="center"/>
          </w:tcPr>
          <w:p w14:paraId="2EC8C3F5">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硕士</w:t>
            </w:r>
          </w:p>
        </w:tc>
        <w:tc>
          <w:tcPr>
            <w:tcW w:w="1965" w:type="dxa"/>
            <w:tcBorders>
              <w:top w:val="single" w:color="000000" w:sz="4" w:space="0"/>
              <w:left w:val="single" w:color="000000" w:sz="4" w:space="0"/>
              <w:bottom w:val="single" w:color="000000" w:sz="4" w:space="0"/>
              <w:right w:val="single" w:color="000000" w:sz="4" w:space="0"/>
            </w:tcBorders>
            <w:vAlign w:val="center"/>
          </w:tcPr>
          <w:p w14:paraId="6E3E80A4">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2</w:t>
            </w:r>
          </w:p>
        </w:tc>
        <w:tc>
          <w:tcPr>
            <w:tcW w:w="1603" w:type="dxa"/>
            <w:tcBorders>
              <w:top w:val="single" w:color="000000" w:sz="4" w:space="0"/>
              <w:left w:val="single" w:color="000000" w:sz="4" w:space="0"/>
              <w:bottom w:val="single" w:color="000000" w:sz="4" w:space="0"/>
              <w:right w:val="single" w:color="000000" w:sz="4" w:space="0"/>
            </w:tcBorders>
            <w:vAlign w:val="center"/>
          </w:tcPr>
          <w:p w14:paraId="250726D2">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33%</w:t>
            </w:r>
          </w:p>
        </w:tc>
        <w:tc>
          <w:tcPr>
            <w:tcW w:w="1546" w:type="dxa"/>
            <w:tcBorders>
              <w:top w:val="single" w:color="000000" w:sz="4" w:space="0"/>
              <w:left w:val="single" w:color="000000" w:sz="4" w:space="0"/>
              <w:bottom w:val="single" w:color="000000" w:sz="4" w:space="0"/>
              <w:right w:val="single" w:color="000000" w:sz="4" w:space="0"/>
            </w:tcBorders>
          </w:tcPr>
          <w:p w14:paraId="3250272B">
            <w:pPr>
              <w:pageBreakBefore w:val="0"/>
              <w:kinsoku/>
              <w:wordWrap/>
              <w:overflowPunct/>
              <w:topLinePunct w:val="0"/>
              <w:bidi w:val="0"/>
              <w:snapToGrid/>
              <w:spacing w:line="360" w:lineRule="exact"/>
              <w:jc w:val="left"/>
              <w:textAlignment w:val="auto"/>
              <w:rPr>
                <w:rFonts w:ascii="宋体" w:hAnsi="宋体" w:cs="宋体"/>
                <w:sz w:val="18"/>
                <w:szCs w:val="18"/>
              </w:rPr>
            </w:pPr>
          </w:p>
        </w:tc>
      </w:tr>
      <w:tr w14:paraId="2093D9DB">
        <w:tblPrEx>
          <w:tblCellMar>
            <w:top w:w="0" w:type="dxa"/>
            <w:left w:w="108" w:type="dxa"/>
            <w:bottom w:w="0" w:type="dxa"/>
            <w:right w:w="108" w:type="dxa"/>
          </w:tblCellMar>
        </w:tblPrEx>
        <w:trPr>
          <w:trHeight w:val="360" w:hRule="atLeast"/>
          <w:jc w:val="center"/>
        </w:trPr>
        <w:tc>
          <w:tcPr>
            <w:tcW w:w="1912" w:type="dxa"/>
            <w:vMerge w:val="continue"/>
            <w:tcBorders>
              <w:top w:val="single" w:color="000000" w:sz="4" w:space="0"/>
              <w:left w:val="single" w:color="000000" w:sz="4" w:space="0"/>
              <w:bottom w:val="single" w:color="000000" w:sz="4" w:space="0"/>
              <w:right w:val="single" w:color="000000" w:sz="4" w:space="0"/>
            </w:tcBorders>
            <w:vAlign w:val="center"/>
          </w:tcPr>
          <w:p w14:paraId="40B4627A">
            <w:pPr>
              <w:pageBreakBefore w:val="0"/>
              <w:kinsoku/>
              <w:wordWrap/>
              <w:overflowPunct/>
              <w:topLinePunct w:val="0"/>
              <w:bidi w:val="0"/>
              <w:snapToGrid/>
              <w:spacing w:line="360" w:lineRule="exact"/>
              <w:textAlignment w:val="auto"/>
              <w:rPr>
                <w:rFonts w:ascii="宋体" w:hAnsi="宋体" w:cs="宋体"/>
                <w:sz w:val="18"/>
                <w:szCs w:val="18"/>
              </w:rPr>
            </w:pPr>
          </w:p>
        </w:tc>
        <w:tc>
          <w:tcPr>
            <w:tcW w:w="1851" w:type="dxa"/>
            <w:tcBorders>
              <w:top w:val="single" w:color="000000" w:sz="4" w:space="0"/>
              <w:left w:val="single" w:color="000000" w:sz="4" w:space="0"/>
              <w:bottom w:val="single" w:color="000000" w:sz="4" w:space="0"/>
              <w:right w:val="single" w:color="000000" w:sz="4" w:space="0"/>
            </w:tcBorders>
            <w:vAlign w:val="center"/>
          </w:tcPr>
          <w:p w14:paraId="632186A1">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本科</w:t>
            </w:r>
          </w:p>
        </w:tc>
        <w:tc>
          <w:tcPr>
            <w:tcW w:w="1965" w:type="dxa"/>
            <w:tcBorders>
              <w:top w:val="single" w:color="000000" w:sz="4" w:space="0"/>
              <w:left w:val="single" w:color="000000" w:sz="4" w:space="0"/>
              <w:bottom w:val="single" w:color="000000" w:sz="4" w:space="0"/>
              <w:right w:val="single" w:color="000000" w:sz="4" w:space="0"/>
            </w:tcBorders>
            <w:vAlign w:val="center"/>
          </w:tcPr>
          <w:p w14:paraId="79C34B6B">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4</w:t>
            </w:r>
          </w:p>
        </w:tc>
        <w:tc>
          <w:tcPr>
            <w:tcW w:w="1603" w:type="dxa"/>
            <w:tcBorders>
              <w:top w:val="single" w:color="000000" w:sz="4" w:space="0"/>
              <w:left w:val="single" w:color="000000" w:sz="4" w:space="0"/>
              <w:bottom w:val="single" w:color="000000" w:sz="4" w:space="0"/>
              <w:right w:val="single" w:color="000000" w:sz="4" w:space="0"/>
            </w:tcBorders>
            <w:vAlign w:val="center"/>
          </w:tcPr>
          <w:p w14:paraId="46E9391E">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66%</w:t>
            </w:r>
          </w:p>
        </w:tc>
        <w:tc>
          <w:tcPr>
            <w:tcW w:w="1546" w:type="dxa"/>
            <w:tcBorders>
              <w:top w:val="single" w:color="000000" w:sz="4" w:space="0"/>
              <w:left w:val="single" w:color="000000" w:sz="4" w:space="0"/>
              <w:bottom w:val="single" w:color="000000" w:sz="4" w:space="0"/>
              <w:right w:val="single" w:color="000000" w:sz="4" w:space="0"/>
            </w:tcBorders>
          </w:tcPr>
          <w:p w14:paraId="309F25D5">
            <w:pPr>
              <w:pageBreakBefore w:val="0"/>
              <w:kinsoku/>
              <w:wordWrap/>
              <w:overflowPunct/>
              <w:topLinePunct w:val="0"/>
              <w:bidi w:val="0"/>
              <w:snapToGrid/>
              <w:spacing w:line="360" w:lineRule="exact"/>
              <w:jc w:val="left"/>
              <w:textAlignment w:val="auto"/>
              <w:rPr>
                <w:rFonts w:ascii="宋体" w:hAnsi="宋体" w:cs="宋体"/>
                <w:sz w:val="18"/>
                <w:szCs w:val="18"/>
              </w:rPr>
            </w:pPr>
          </w:p>
        </w:tc>
      </w:tr>
      <w:tr w14:paraId="18C5370E">
        <w:tblPrEx>
          <w:tblCellMar>
            <w:top w:w="0" w:type="dxa"/>
            <w:left w:w="108" w:type="dxa"/>
            <w:bottom w:w="0" w:type="dxa"/>
            <w:right w:w="108" w:type="dxa"/>
          </w:tblCellMar>
        </w:tblPrEx>
        <w:trPr>
          <w:trHeight w:val="360" w:hRule="atLeast"/>
          <w:jc w:val="center"/>
        </w:trPr>
        <w:tc>
          <w:tcPr>
            <w:tcW w:w="1912" w:type="dxa"/>
            <w:vMerge w:val="restart"/>
            <w:tcBorders>
              <w:top w:val="single" w:color="000000" w:sz="4" w:space="0"/>
              <w:left w:val="single" w:color="000000" w:sz="4" w:space="0"/>
              <w:bottom w:val="single" w:color="000000" w:sz="4" w:space="0"/>
              <w:right w:val="single" w:color="000000" w:sz="4" w:space="0"/>
            </w:tcBorders>
            <w:vAlign w:val="center"/>
          </w:tcPr>
          <w:p w14:paraId="73D9607E">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年龄结构</w:t>
            </w:r>
          </w:p>
        </w:tc>
        <w:tc>
          <w:tcPr>
            <w:tcW w:w="1851" w:type="dxa"/>
            <w:tcBorders>
              <w:top w:val="single" w:color="000000" w:sz="4" w:space="0"/>
              <w:left w:val="single" w:color="000000" w:sz="4" w:space="0"/>
              <w:bottom w:val="single" w:color="000000" w:sz="4" w:space="0"/>
              <w:right w:val="single" w:color="000000" w:sz="4" w:space="0"/>
            </w:tcBorders>
            <w:vAlign w:val="center"/>
          </w:tcPr>
          <w:p w14:paraId="1B66E4EC">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35岁以下</w:t>
            </w:r>
          </w:p>
        </w:tc>
        <w:tc>
          <w:tcPr>
            <w:tcW w:w="1965" w:type="dxa"/>
            <w:tcBorders>
              <w:top w:val="single" w:color="000000" w:sz="4" w:space="0"/>
              <w:left w:val="single" w:color="000000" w:sz="4" w:space="0"/>
              <w:bottom w:val="single" w:color="000000" w:sz="4" w:space="0"/>
              <w:right w:val="single" w:color="000000" w:sz="4" w:space="0"/>
            </w:tcBorders>
            <w:vAlign w:val="center"/>
          </w:tcPr>
          <w:p w14:paraId="0DA68032">
            <w:pPr>
              <w:pageBreakBefore w:val="0"/>
              <w:kinsoku/>
              <w:wordWrap/>
              <w:overflowPunct/>
              <w:topLinePunct w:val="0"/>
              <w:bidi w:val="0"/>
              <w:adjustRightInd w:val="0"/>
              <w:snapToGrid/>
              <w:spacing w:line="360" w:lineRule="exact"/>
              <w:jc w:val="center"/>
              <w:textAlignment w:val="auto"/>
              <w:rPr>
                <w:rFonts w:ascii="宋体" w:hAnsi="宋体" w:cs="宋体"/>
                <w:sz w:val="18"/>
                <w:szCs w:val="18"/>
              </w:rPr>
            </w:pPr>
            <w:r>
              <w:rPr>
                <w:rFonts w:hint="eastAsia" w:ascii="宋体" w:hAnsi="宋体" w:cs="宋体"/>
                <w:sz w:val="18"/>
                <w:szCs w:val="18"/>
              </w:rPr>
              <w:t>4</w:t>
            </w:r>
          </w:p>
        </w:tc>
        <w:tc>
          <w:tcPr>
            <w:tcW w:w="1603" w:type="dxa"/>
            <w:tcBorders>
              <w:top w:val="single" w:color="000000" w:sz="4" w:space="0"/>
              <w:left w:val="single" w:color="000000" w:sz="4" w:space="0"/>
              <w:bottom w:val="single" w:color="000000" w:sz="4" w:space="0"/>
              <w:right w:val="single" w:color="000000" w:sz="4" w:space="0"/>
            </w:tcBorders>
            <w:vAlign w:val="center"/>
          </w:tcPr>
          <w:p w14:paraId="0C9656B0">
            <w:pPr>
              <w:pageBreakBefore w:val="0"/>
              <w:kinsoku/>
              <w:wordWrap/>
              <w:overflowPunct/>
              <w:topLinePunct w:val="0"/>
              <w:bidi w:val="0"/>
              <w:adjustRightInd w:val="0"/>
              <w:snapToGrid/>
              <w:spacing w:line="360" w:lineRule="exact"/>
              <w:jc w:val="center"/>
              <w:textAlignment w:val="auto"/>
              <w:rPr>
                <w:rFonts w:ascii="宋体" w:hAnsi="宋体" w:cs="宋体"/>
                <w:sz w:val="18"/>
                <w:szCs w:val="18"/>
              </w:rPr>
            </w:pPr>
            <w:r>
              <w:rPr>
                <w:rFonts w:hint="eastAsia" w:ascii="宋体" w:hAnsi="宋体" w:cs="宋体"/>
                <w:sz w:val="18"/>
                <w:szCs w:val="18"/>
              </w:rPr>
              <w:t>66%</w:t>
            </w:r>
          </w:p>
        </w:tc>
        <w:tc>
          <w:tcPr>
            <w:tcW w:w="1546" w:type="dxa"/>
            <w:tcBorders>
              <w:top w:val="single" w:color="000000" w:sz="4" w:space="0"/>
              <w:left w:val="single" w:color="000000" w:sz="4" w:space="0"/>
              <w:bottom w:val="single" w:color="000000" w:sz="4" w:space="0"/>
              <w:right w:val="single" w:color="000000" w:sz="4" w:space="0"/>
            </w:tcBorders>
          </w:tcPr>
          <w:p w14:paraId="1D1BC8B4">
            <w:pPr>
              <w:pageBreakBefore w:val="0"/>
              <w:kinsoku/>
              <w:wordWrap/>
              <w:overflowPunct/>
              <w:topLinePunct w:val="0"/>
              <w:bidi w:val="0"/>
              <w:adjustRightInd w:val="0"/>
              <w:snapToGrid/>
              <w:spacing w:line="360" w:lineRule="exact"/>
              <w:jc w:val="center"/>
              <w:textAlignment w:val="auto"/>
              <w:rPr>
                <w:rFonts w:ascii="宋体" w:hAnsi="宋体" w:cs="宋体"/>
                <w:sz w:val="18"/>
                <w:szCs w:val="18"/>
              </w:rPr>
            </w:pPr>
          </w:p>
        </w:tc>
      </w:tr>
      <w:tr w14:paraId="1A947C58">
        <w:tblPrEx>
          <w:tblCellMar>
            <w:top w:w="0" w:type="dxa"/>
            <w:left w:w="108" w:type="dxa"/>
            <w:bottom w:w="0" w:type="dxa"/>
            <w:right w:w="108" w:type="dxa"/>
          </w:tblCellMar>
        </w:tblPrEx>
        <w:trPr>
          <w:trHeight w:val="360" w:hRule="atLeast"/>
          <w:jc w:val="center"/>
        </w:trPr>
        <w:tc>
          <w:tcPr>
            <w:tcW w:w="1912" w:type="dxa"/>
            <w:vMerge w:val="continue"/>
            <w:tcBorders>
              <w:top w:val="single" w:color="000000" w:sz="4" w:space="0"/>
              <w:left w:val="single" w:color="000000" w:sz="4" w:space="0"/>
              <w:bottom w:val="single" w:color="000000" w:sz="4" w:space="0"/>
              <w:right w:val="single" w:color="000000" w:sz="4" w:space="0"/>
            </w:tcBorders>
            <w:vAlign w:val="center"/>
          </w:tcPr>
          <w:p w14:paraId="2B0CF201">
            <w:pPr>
              <w:pageBreakBefore w:val="0"/>
              <w:kinsoku/>
              <w:wordWrap/>
              <w:overflowPunct/>
              <w:topLinePunct w:val="0"/>
              <w:bidi w:val="0"/>
              <w:snapToGrid/>
              <w:spacing w:line="360" w:lineRule="exact"/>
              <w:textAlignment w:val="auto"/>
              <w:rPr>
                <w:rFonts w:ascii="宋体" w:hAnsi="宋体" w:cs="宋体"/>
                <w:sz w:val="18"/>
                <w:szCs w:val="18"/>
              </w:rPr>
            </w:pPr>
          </w:p>
        </w:tc>
        <w:tc>
          <w:tcPr>
            <w:tcW w:w="1851" w:type="dxa"/>
            <w:tcBorders>
              <w:top w:val="single" w:color="000000" w:sz="4" w:space="0"/>
              <w:left w:val="single" w:color="000000" w:sz="4" w:space="0"/>
              <w:bottom w:val="single" w:color="000000" w:sz="4" w:space="0"/>
              <w:right w:val="single" w:color="000000" w:sz="4" w:space="0"/>
            </w:tcBorders>
            <w:vAlign w:val="center"/>
          </w:tcPr>
          <w:p w14:paraId="71319461">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36-45岁</w:t>
            </w:r>
          </w:p>
        </w:tc>
        <w:tc>
          <w:tcPr>
            <w:tcW w:w="1965" w:type="dxa"/>
            <w:tcBorders>
              <w:top w:val="single" w:color="000000" w:sz="4" w:space="0"/>
              <w:left w:val="single" w:color="000000" w:sz="4" w:space="0"/>
              <w:bottom w:val="single" w:color="000000" w:sz="4" w:space="0"/>
              <w:right w:val="single" w:color="000000" w:sz="4" w:space="0"/>
            </w:tcBorders>
            <w:vAlign w:val="center"/>
          </w:tcPr>
          <w:p w14:paraId="6C10DBE5">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1</w:t>
            </w:r>
          </w:p>
        </w:tc>
        <w:tc>
          <w:tcPr>
            <w:tcW w:w="1603" w:type="dxa"/>
            <w:tcBorders>
              <w:top w:val="single" w:color="000000" w:sz="4" w:space="0"/>
              <w:left w:val="single" w:color="000000" w:sz="4" w:space="0"/>
              <w:bottom w:val="single" w:color="000000" w:sz="4" w:space="0"/>
              <w:right w:val="single" w:color="000000" w:sz="4" w:space="0"/>
            </w:tcBorders>
            <w:vAlign w:val="center"/>
          </w:tcPr>
          <w:p w14:paraId="78F49262">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16%</w:t>
            </w:r>
          </w:p>
        </w:tc>
        <w:tc>
          <w:tcPr>
            <w:tcW w:w="1546" w:type="dxa"/>
            <w:tcBorders>
              <w:top w:val="single" w:color="000000" w:sz="4" w:space="0"/>
              <w:left w:val="single" w:color="000000" w:sz="4" w:space="0"/>
              <w:bottom w:val="single" w:color="000000" w:sz="4" w:space="0"/>
              <w:right w:val="single" w:color="000000" w:sz="4" w:space="0"/>
            </w:tcBorders>
          </w:tcPr>
          <w:p w14:paraId="35923A05">
            <w:pPr>
              <w:pageBreakBefore w:val="0"/>
              <w:kinsoku/>
              <w:wordWrap/>
              <w:overflowPunct/>
              <w:topLinePunct w:val="0"/>
              <w:bidi w:val="0"/>
              <w:snapToGrid/>
              <w:spacing w:line="360" w:lineRule="exact"/>
              <w:jc w:val="left"/>
              <w:textAlignment w:val="auto"/>
              <w:rPr>
                <w:rFonts w:ascii="宋体" w:hAnsi="宋体" w:cs="宋体"/>
                <w:sz w:val="18"/>
                <w:szCs w:val="18"/>
              </w:rPr>
            </w:pPr>
          </w:p>
        </w:tc>
      </w:tr>
      <w:tr w14:paraId="18577AFE">
        <w:tblPrEx>
          <w:tblCellMar>
            <w:top w:w="0" w:type="dxa"/>
            <w:left w:w="108" w:type="dxa"/>
            <w:bottom w:w="0" w:type="dxa"/>
            <w:right w:w="108" w:type="dxa"/>
          </w:tblCellMar>
        </w:tblPrEx>
        <w:trPr>
          <w:trHeight w:val="360" w:hRule="atLeast"/>
          <w:jc w:val="center"/>
        </w:trPr>
        <w:tc>
          <w:tcPr>
            <w:tcW w:w="1912" w:type="dxa"/>
            <w:vMerge w:val="continue"/>
            <w:tcBorders>
              <w:top w:val="single" w:color="000000" w:sz="4" w:space="0"/>
              <w:left w:val="single" w:color="000000" w:sz="4" w:space="0"/>
              <w:bottom w:val="single" w:color="000000" w:sz="4" w:space="0"/>
              <w:right w:val="single" w:color="000000" w:sz="4" w:space="0"/>
            </w:tcBorders>
            <w:vAlign w:val="center"/>
          </w:tcPr>
          <w:p w14:paraId="381F6DC2">
            <w:pPr>
              <w:pageBreakBefore w:val="0"/>
              <w:kinsoku/>
              <w:wordWrap/>
              <w:overflowPunct/>
              <w:topLinePunct w:val="0"/>
              <w:bidi w:val="0"/>
              <w:snapToGrid/>
              <w:spacing w:line="360" w:lineRule="exact"/>
              <w:textAlignment w:val="auto"/>
              <w:rPr>
                <w:rFonts w:ascii="宋体" w:hAnsi="宋体" w:cs="宋体"/>
                <w:sz w:val="18"/>
                <w:szCs w:val="18"/>
              </w:rPr>
            </w:pPr>
          </w:p>
        </w:tc>
        <w:tc>
          <w:tcPr>
            <w:tcW w:w="1851" w:type="dxa"/>
            <w:tcBorders>
              <w:top w:val="single" w:color="000000" w:sz="4" w:space="0"/>
              <w:left w:val="single" w:color="000000" w:sz="4" w:space="0"/>
              <w:bottom w:val="single" w:color="000000" w:sz="4" w:space="0"/>
              <w:right w:val="single" w:color="000000" w:sz="4" w:space="0"/>
            </w:tcBorders>
            <w:vAlign w:val="center"/>
          </w:tcPr>
          <w:p w14:paraId="097E9E38">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46-60岁</w:t>
            </w:r>
          </w:p>
        </w:tc>
        <w:tc>
          <w:tcPr>
            <w:tcW w:w="1965" w:type="dxa"/>
            <w:tcBorders>
              <w:top w:val="single" w:color="000000" w:sz="4" w:space="0"/>
              <w:left w:val="single" w:color="000000" w:sz="4" w:space="0"/>
              <w:bottom w:val="single" w:color="000000" w:sz="4" w:space="0"/>
              <w:right w:val="single" w:color="000000" w:sz="4" w:space="0"/>
            </w:tcBorders>
            <w:vAlign w:val="center"/>
          </w:tcPr>
          <w:p w14:paraId="2D86DCFA">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1</w:t>
            </w:r>
          </w:p>
        </w:tc>
        <w:tc>
          <w:tcPr>
            <w:tcW w:w="1603" w:type="dxa"/>
            <w:tcBorders>
              <w:top w:val="single" w:color="000000" w:sz="4" w:space="0"/>
              <w:left w:val="single" w:color="000000" w:sz="4" w:space="0"/>
              <w:bottom w:val="single" w:color="000000" w:sz="4" w:space="0"/>
              <w:right w:val="single" w:color="000000" w:sz="4" w:space="0"/>
            </w:tcBorders>
            <w:vAlign w:val="center"/>
          </w:tcPr>
          <w:p w14:paraId="7044CDD0">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16%</w:t>
            </w:r>
          </w:p>
        </w:tc>
        <w:tc>
          <w:tcPr>
            <w:tcW w:w="1546" w:type="dxa"/>
            <w:tcBorders>
              <w:top w:val="single" w:color="000000" w:sz="4" w:space="0"/>
              <w:left w:val="single" w:color="000000" w:sz="4" w:space="0"/>
              <w:bottom w:val="single" w:color="000000" w:sz="4" w:space="0"/>
              <w:right w:val="single" w:color="000000" w:sz="4" w:space="0"/>
            </w:tcBorders>
          </w:tcPr>
          <w:p w14:paraId="1D8239A5">
            <w:pPr>
              <w:pageBreakBefore w:val="0"/>
              <w:kinsoku/>
              <w:wordWrap/>
              <w:overflowPunct/>
              <w:topLinePunct w:val="0"/>
              <w:bidi w:val="0"/>
              <w:snapToGrid/>
              <w:spacing w:line="360" w:lineRule="exact"/>
              <w:jc w:val="left"/>
              <w:textAlignment w:val="auto"/>
              <w:rPr>
                <w:rFonts w:ascii="宋体" w:hAnsi="宋体" w:cs="宋体"/>
                <w:sz w:val="18"/>
                <w:szCs w:val="18"/>
              </w:rPr>
            </w:pPr>
          </w:p>
        </w:tc>
      </w:tr>
      <w:tr w14:paraId="79079D13">
        <w:tblPrEx>
          <w:tblCellMar>
            <w:top w:w="0" w:type="dxa"/>
            <w:left w:w="108" w:type="dxa"/>
            <w:bottom w:w="0" w:type="dxa"/>
            <w:right w:w="108" w:type="dxa"/>
          </w:tblCellMar>
        </w:tblPrEx>
        <w:trPr>
          <w:trHeight w:val="360" w:hRule="atLeast"/>
          <w:jc w:val="center"/>
        </w:trPr>
        <w:tc>
          <w:tcPr>
            <w:tcW w:w="3763" w:type="dxa"/>
            <w:gridSpan w:val="2"/>
            <w:tcBorders>
              <w:top w:val="single" w:color="000000" w:sz="4" w:space="0"/>
              <w:left w:val="single" w:color="000000" w:sz="4" w:space="0"/>
              <w:bottom w:val="single" w:color="000000" w:sz="4" w:space="0"/>
              <w:right w:val="single" w:color="000000" w:sz="4" w:space="0"/>
            </w:tcBorders>
            <w:vAlign w:val="center"/>
          </w:tcPr>
          <w:p w14:paraId="607799E8">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双师型教师</w:t>
            </w:r>
          </w:p>
        </w:tc>
        <w:tc>
          <w:tcPr>
            <w:tcW w:w="1965" w:type="dxa"/>
            <w:tcBorders>
              <w:top w:val="single" w:color="000000" w:sz="4" w:space="0"/>
              <w:left w:val="single" w:color="000000" w:sz="4" w:space="0"/>
              <w:bottom w:val="single" w:color="000000" w:sz="4" w:space="0"/>
              <w:right w:val="single" w:color="000000" w:sz="4" w:space="0"/>
            </w:tcBorders>
            <w:vAlign w:val="center"/>
          </w:tcPr>
          <w:p w14:paraId="1087CE26">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5</w:t>
            </w:r>
          </w:p>
        </w:tc>
        <w:tc>
          <w:tcPr>
            <w:tcW w:w="1603" w:type="dxa"/>
            <w:tcBorders>
              <w:top w:val="single" w:color="000000" w:sz="4" w:space="0"/>
              <w:left w:val="single" w:color="000000" w:sz="4" w:space="0"/>
              <w:bottom w:val="single" w:color="000000" w:sz="4" w:space="0"/>
              <w:right w:val="single" w:color="000000" w:sz="4" w:space="0"/>
            </w:tcBorders>
            <w:vAlign w:val="center"/>
          </w:tcPr>
          <w:p w14:paraId="3567673A">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83%</w:t>
            </w:r>
          </w:p>
        </w:tc>
        <w:tc>
          <w:tcPr>
            <w:tcW w:w="1546" w:type="dxa"/>
            <w:tcBorders>
              <w:top w:val="single" w:color="000000" w:sz="4" w:space="0"/>
              <w:left w:val="single" w:color="000000" w:sz="4" w:space="0"/>
              <w:bottom w:val="single" w:color="000000" w:sz="4" w:space="0"/>
              <w:right w:val="single" w:color="000000" w:sz="4" w:space="0"/>
            </w:tcBorders>
          </w:tcPr>
          <w:p w14:paraId="58949874">
            <w:pPr>
              <w:pageBreakBefore w:val="0"/>
              <w:kinsoku/>
              <w:wordWrap/>
              <w:overflowPunct/>
              <w:topLinePunct w:val="0"/>
              <w:bidi w:val="0"/>
              <w:snapToGrid/>
              <w:spacing w:line="360" w:lineRule="exact"/>
              <w:jc w:val="center"/>
              <w:textAlignment w:val="auto"/>
              <w:rPr>
                <w:rFonts w:ascii="宋体" w:hAnsi="宋体" w:cs="宋体"/>
                <w:sz w:val="18"/>
                <w:szCs w:val="18"/>
              </w:rPr>
            </w:pPr>
          </w:p>
        </w:tc>
      </w:tr>
      <w:tr w14:paraId="73F305CD">
        <w:tblPrEx>
          <w:tblCellMar>
            <w:top w:w="0" w:type="dxa"/>
            <w:left w:w="108" w:type="dxa"/>
            <w:bottom w:w="0" w:type="dxa"/>
            <w:right w:w="108" w:type="dxa"/>
          </w:tblCellMar>
        </w:tblPrEx>
        <w:trPr>
          <w:trHeight w:val="360" w:hRule="atLeast"/>
          <w:jc w:val="center"/>
        </w:trPr>
        <w:tc>
          <w:tcPr>
            <w:tcW w:w="3763" w:type="dxa"/>
            <w:gridSpan w:val="2"/>
            <w:tcBorders>
              <w:top w:val="single" w:color="000000" w:sz="4" w:space="0"/>
              <w:left w:val="single" w:color="000000" w:sz="4" w:space="0"/>
              <w:bottom w:val="single" w:color="000000" w:sz="4" w:space="0"/>
              <w:right w:val="single" w:color="000000" w:sz="4" w:space="0"/>
            </w:tcBorders>
            <w:vAlign w:val="center"/>
          </w:tcPr>
          <w:p w14:paraId="0ADF4315">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专任教师</w:t>
            </w:r>
          </w:p>
        </w:tc>
        <w:tc>
          <w:tcPr>
            <w:tcW w:w="1965" w:type="dxa"/>
            <w:tcBorders>
              <w:top w:val="single" w:color="000000" w:sz="4" w:space="0"/>
              <w:left w:val="single" w:color="000000" w:sz="4" w:space="0"/>
              <w:bottom w:val="single" w:color="000000" w:sz="4" w:space="0"/>
              <w:right w:val="single" w:color="000000" w:sz="4" w:space="0"/>
            </w:tcBorders>
            <w:vAlign w:val="center"/>
          </w:tcPr>
          <w:p w14:paraId="5142115F">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5</w:t>
            </w:r>
          </w:p>
        </w:tc>
        <w:tc>
          <w:tcPr>
            <w:tcW w:w="1603" w:type="dxa"/>
            <w:tcBorders>
              <w:top w:val="single" w:color="000000" w:sz="4" w:space="0"/>
              <w:left w:val="single" w:color="000000" w:sz="4" w:space="0"/>
              <w:bottom w:val="single" w:color="000000" w:sz="4" w:space="0"/>
              <w:right w:val="single" w:color="000000" w:sz="4" w:space="0"/>
            </w:tcBorders>
            <w:vAlign w:val="center"/>
          </w:tcPr>
          <w:p w14:paraId="03CFE7F2">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83%</w:t>
            </w:r>
          </w:p>
        </w:tc>
        <w:tc>
          <w:tcPr>
            <w:tcW w:w="1546" w:type="dxa"/>
            <w:tcBorders>
              <w:top w:val="single" w:color="000000" w:sz="4" w:space="0"/>
              <w:left w:val="single" w:color="000000" w:sz="4" w:space="0"/>
              <w:bottom w:val="single" w:color="000000" w:sz="4" w:space="0"/>
              <w:right w:val="single" w:color="000000" w:sz="4" w:space="0"/>
            </w:tcBorders>
          </w:tcPr>
          <w:p w14:paraId="28887B3D">
            <w:pPr>
              <w:pageBreakBefore w:val="0"/>
              <w:kinsoku/>
              <w:wordWrap/>
              <w:overflowPunct/>
              <w:topLinePunct w:val="0"/>
              <w:bidi w:val="0"/>
              <w:snapToGrid/>
              <w:spacing w:line="360" w:lineRule="exact"/>
              <w:jc w:val="center"/>
              <w:textAlignment w:val="auto"/>
              <w:rPr>
                <w:rFonts w:ascii="宋体" w:hAnsi="宋体" w:cs="宋体"/>
                <w:sz w:val="18"/>
                <w:szCs w:val="18"/>
              </w:rPr>
            </w:pPr>
          </w:p>
        </w:tc>
      </w:tr>
      <w:tr w14:paraId="5B4BCCEE">
        <w:tblPrEx>
          <w:tblCellMar>
            <w:top w:w="0" w:type="dxa"/>
            <w:left w:w="108" w:type="dxa"/>
            <w:bottom w:w="0" w:type="dxa"/>
            <w:right w:w="108" w:type="dxa"/>
          </w:tblCellMar>
        </w:tblPrEx>
        <w:trPr>
          <w:trHeight w:val="360" w:hRule="atLeast"/>
          <w:jc w:val="center"/>
        </w:trPr>
        <w:tc>
          <w:tcPr>
            <w:tcW w:w="3763" w:type="dxa"/>
            <w:gridSpan w:val="2"/>
            <w:tcBorders>
              <w:top w:val="single" w:color="000000" w:sz="4" w:space="0"/>
              <w:left w:val="single" w:color="000000" w:sz="4" w:space="0"/>
              <w:bottom w:val="single" w:color="000000" w:sz="4" w:space="0"/>
              <w:right w:val="single" w:color="000000" w:sz="4" w:space="0"/>
            </w:tcBorders>
            <w:vAlign w:val="center"/>
          </w:tcPr>
          <w:p w14:paraId="0CF59849">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专业带头人</w:t>
            </w:r>
          </w:p>
        </w:tc>
        <w:tc>
          <w:tcPr>
            <w:tcW w:w="1965" w:type="dxa"/>
            <w:tcBorders>
              <w:top w:val="single" w:color="000000" w:sz="4" w:space="0"/>
              <w:left w:val="single" w:color="000000" w:sz="4" w:space="0"/>
              <w:bottom w:val="single" w:color="000000" w:sz="4" w:space="0"/>
              <w:right w:val="single" w:color="000000" w:sz="4" w:space="0"/>
            </w:tcBorders>
            <w:vAlign w:val="center"/>
          </w:tcPr>
          <w:p w14:paraId="5FC875EC">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1</w:t>
            </w:r>
          </w:p>
        </w:tc>
        <w:tc>
          <w:tcPr>
            <w:tcW w:w="1603" w:type="dxa"/>
            <w:tcBorders>
              <w:top w:val="single" w:color="000000" w:sz="4" w:space="0"/>
              <w:left w:val="single" w:color="000000" w:sz="4" w:space="0"/>
              <w:bottom w:val="single" w:color="000000" w:sz="4" w:space="0"/>
              <w:right w:val="single" w:color="000000" w:sz="4" w:space="0"/>
            </w:tcBorders>
            <w:vAlign w:val="center"/>
          </w:tcPr>
          <w:p w14:paraId="7F8BC763">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16%</w:t>
            </w:r>
          </w:p>
        </w:tc>
        <w:tc>
          <w:tcPr>
            <w:tcW w:w="1546" w:type="dxa"/>
            <w:tcBorders>
              <w:top w:val="single" w:color="000000" w:sz="4" w:space="0"/>
              <w:left w:val="single" w:color="000000" w:sz="4" w:space="0"/>
              <w:bottom w:val="single" w:color="000000" w:sz="4" w:space="0"/>
              <w:right w:val="single" w:color="000000" w:sz="4" w:space="0"/>
            </w:tcBorders>
          </w:tcPr>
          <w:p w14:paraId="1310E775">
            <w:pPr>
              <w:pageBreakBefore w:val="0"/>
              <w:kinsoku/>
              <w:wordWrap/>
              <w:overflowPunct/>
              <w:topLinePunct w:val="0"/>
              <w:bidi w:val="0"/>
              <w:snapToGrid/>
              <w:spacing w:line="360" w:lineRule="exact"/>
              <w:jc w:val="center"/>
              <w:textAlignment w:val="auto"/>
              <w:rPr>
                <w:rFonts w:ascii="宋体" w:hAnsi="宋体" w:cs="宋体"/>
                <w:sz w:val="18"/>
                <w:szCs w:val="18"/>
              </w:rPr>
            </w:pPr>
          </w:p>
        </w:tc>
      </w:tr>
      <w:tr w14:paraId="648389B3">
        <w:tblPrEx>
          <w:tblCellMar>
            <w:top w:w="0" w:type="dxa"/>
            <w:left w:w="108" w:type="dxa"/>
            <w:bottom w:w="0" w:type="dxa"/>
            <w:right w:w="108" w:type="dxa"/>
          </w:tblCellMar>
        </w:tblPrEx>
        <w:trPr>
          <w:trHeight w:val="373" w:hRule="atLeast"/>
          <w:jc w:val="center"/>
        </w:trPr>
        <w:tc>
          <w:tcPr>
            <w:tcW w:w="3763" w:type="dxa"/>
            <w:gridSpan w:val="2"/>
            <w:tcBorders>
              <w:top w:val="single" w:color="000000" w:sz="4" w:space="0"/>
              <w:left w:val="single" w:color="000000" w:sz="4" w:space="0"/>
              <w:bottom w:val="single" w:color="000000" w:sz="4" w:space="0"/>
              <w:right w:val="single" w:color="000000" w:sz="4" w:space="0"/>
            </w:tcBorders>
            <w:vAlign w:val="center"/>
          </w:tcPr>
          <w:p w14:paraId="4C0BF632">
            <w:pPr>
              <w:pageBreakBefore w:val="0"/>
              <w:kinsoku/>
              <w:wordWrap/>
              <w:overflowPunct/>
              <w:topLinePunct w:val="0"/>
              <w:bidi w:val="0"/>
              <w:snapToGrid/>
              <w:spacing w:line="360" w:lineRule="exact"/>
              <w:textAlignment w:val="auto"/>
              <w:rPr>
                <w:rFonts w:ascii="宋体" w:hAnsi="宋体" w:cs="宋体"/>
                <w:sz w:val="18"/>
                <w:szCs w:val="18"/>
              </w:rPr>
            </w:pPr>
            <w:r>
              <w:rPr>
                <w:rFonts w:hint="eastAsia" w:ascii="宋体" w:hAnsi="宋体" w:cs="宋体"/>
                <w:sz w:val="18"/>
                <w:szCs w:val="18"/>
              </w:rPr>
              <w:t>兼职教师</w:t>
            </w:r>
          </w:p>
        </w:tc>
        <w:tc>
          <w:tcPr>
            <w:tcW w:w="1965" w:type="dxa"/>
            <w:tcBorders>
              <w:top w:val="single" w:color="000000" w:sz="4" w:space="0"/>
              <w:left w:val="single" w:color="000000" w:sz="4" w:space="0"/>
              <w:bottom w:val="single" w:color="000000" w:sz="4" w:space="0"/>
              <w:right w:val="single" w:color="000000" w:sz="4" w:space="0"/>
            </w:tcBorders>
            <w:vAlign w:val="center"/>
          </w:tcPr>
          <w:p w14:paraId="7FBABA58">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1</w:t>
            </w:r>
          </w:p>
        </w:tc>
        <w:tc>
          <w:tcPr>
            <w:tcW w:w="1603" w:type="dxa"/>
            <w:tcBorders>
              <w:top w:val="single" w:color="000000" w:sz="4" w:space="0"/>
              <w:left w:val="single" w:color="000000" w:sz="4" w:space="0"/>
              <w:bottom w:val="single" w:color="000000" w:sz="4" w:space="0"/>
              <w:right w:val="single" w:color="000000" w:sz="4" w:space="0"/>
            </w:tcBorders>
            <w:vAlign w:val="center"/>
          </w:tcPr>
          <w:p w14:paraId="79E0BE46">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16%</w:t>
            </w:r>
          </w:p>
        </w:tc>
        <w:tc>
          <w:tcPr>
            <w:tcW w:w="1546" w:type="dxa"/>
            <w:tcBorders>
              <w:top w:val="single" w:color="000000" w:sz="4" w:space="0"/>
              <w:left w:val="single" w:color="000000" w:sz="4" w:space="0"/>
              <w:bottom w:val="single" w:color="000000" w:sz="4" w:space="0"/>
              <w:right w:val="single" w:color="000000" w:sz="4" w:space="0"/>
            </w:tcBorders>
          </w:tcPr>
          <w:p w14:paraId="39915F3D">
            <w:pPr>
              <w:pageBreakBefore w:val="0"/>
              <w:kinsoku/>
              <w:wordWrap/>
              <w:overflowPunct/>
              <w:topLinePunct w:val="0"/>
              <w:bidi w:val="0"/>
              <w:snapToGrid/>
              <w:spacing w:line="360" w:lineRule="exact"/>
              <w:jc w:val="center"/>
              <w:textAlignment w:val="auto"/>
              <w:rPr>
                <w:rFonts w:ascii="宋体" w:hAnsi="宋体" w:cs="宋体"/>
                <w:sz w:val="18"/>
                <w:szCs w:val="18"/>
              </w:rPr>
            </w:pPr>
          </w:p>
        </w:tc>
      </w:tr>
    </w:tbl>
    <w:p w14:paraId="6FB76A6F">
      <w:pPr>
        <w:pageBreakBefore w:val="0"/>
        <w:kinsoku/>
        <w:wordWrap/>
        <w:overflowPunct/>
        <w:topLinePunct w:val="0"/>
        <w:bidi w:val="0"/>
        <w:adjustRightInd w:val="0"/>
        <w:snapToGrid/>
        <w:spacing w:line="360" w:lineRule="exact"/>
        <w:ind w:firstLine="422" w:firstLineChars="200"/>
        <w:textAlignment w:val="auto"/>
        <w:rPr>
          <w:rFonts w:ascii="宋体" w:hAnsi="宋体" w:cs="宋体"/>
          <w:szCs w:val="21"/>
        </w:rPr>
      </w:pPr>
      <w:r>
        <w:rPr>
          <w:rFonts w:ascii="宋体" w:hAnsi="宋体" w:cs="宋体"/>
          <w:b/>
          <w:bCs/>
          <w:szCs w:val="21"/>
        </w:rPr>
        <w:t>2.专业带头人</w:t>
      </w:r>
      <w:r>
        <w:rPr>
          <w:rFonts w:ascii="宋体" w:hAnsi="宋体" w:cs="宋体"/>
          <w:szCs w:val="21"/>
        </w:rPr>
        <w:t xml:space="preserve"> </w:t>
      </w:r>
    </w:p>
    <w:p w14:paraId="2C035AC7">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原则上应具有本专业及相关专业副高及以上职称和较强的临床经验和实践能力，实行双专业带头人，专业带头人原则，主持过国家级、省部级、市级、校级课题，具备专业带头人的能力。</w:t>
      </w:r>
    </w:p>
    <w:p w14:paraId="6ED0913A">
      <w:pPr>
        <w:pageBreakBefore w:val="0"/>
        <w:kinsoku/>
        <w:wordWrap/>
        <w:overflowPunct/>
        <w:topLinePunct w:val="0"/>
        <w:bidi w:val="0"/>
        <w:adjustRightInd w:val="0"/>
        <w:snapToGrid/>
        <w:spacing w:line="360" w:lineRule="exact"/>
        <w:ind w:firstLine="422" w:firstLineChars="200"/>
        <w:textAlignment w:val="auto"/>
        <w:rPr>
          <w:rFonts w:ascii="宋体" w:hAnsi="宋体" w:cs="宋体"/>
          <w:b/>
          <w:bCs/>
          <w:szCs w:val="21"/>
        </w:rPr>
      </w:pPr>
      <w:r>
        <w:rPr>
          <w:rFonts w:hint="eastAsia" w:ascii="宋体" w:hAnsi="宋体" w:cs="宋体"/>
          <w:b/>
          <w:bCs/>
          <w:szCs w:val="21"/>
        </w:rPr>
        <w:t>3.专任教师</w:t>
      </w:r>
    </w:p>
    <w:p w14:paraId="6326BC94">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（1）具备本科及以上学历，具有高等教育教师资格证书。</w:t>
      </w:r>
    </w:p>
    <w:p w14:paraId="1DE692FC">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（2）具有扎实的养老照护知识与技能，熟悉智慧养老的最新理论与实践，能熟悉运用智慧养老技术和方法。</w:t>
      </w:r>
    </w:p>
    <w:p w14:paraId="7C9E51E3">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（3）拥有良好的教学设计与实施能力，能够采用多样化的教学手段激发学生学习兴趣，促进学生理论与实践结合。</w:t>
      </w:r>
    </w:p>
    <w:p w14:paraId="44A2B3D2">
      <w:pPr>
        <w:pageBreakBefore w:val="0"/>
        <w:kinsoku/>
        <w:wordWrap/>
        <w:overflowPunct/>
        <w:topLinePunct w:val="0"/>
        <w:bidi w:val="0"/>
        <w:snapToGrid/>
        <w:spacing w:line="360" w:lineRule="exact"/>
        <w:ind w:firstLine="420" w:firstLineChars="200"/>
        <w:textAlignment w:val="auto"/>
        <w:rPr>
          <w:rFonts w:ascii="宋体" w:hAnsi="宋体" w:cs="宋体"/>
          <w:szCs w:val="21"/>
        </w:rPr>
      </w:pPr>
      <w:r>
        <w:rPr>
          <w:rFonts w:hint="eastAsia"/>
          <w:szCs w:val="21"/>
        </w:rPr>
        <w:t>（4）</w:t>
      </w:r>
      <w:r>
        <w:rPr>
          <w:rFonts w:hint="eastAsia" w:ascii="宋体" w:hAnsi="宋体"/>
          <w:szCs w:val="21"/>
        </w:rPr>
        <w:t>具有相关执业资格证书和初级以上技术职称以及丰富的临床工作经验</w:t>
      </w:r>
      <w:r>
        <w:rPr>
          <w:rFonts w:hint="eastAsia"/>
          <w:szCs w:val="21"/>
        </w:rPr>
        <w:t>。</w:t>
      </w:r>
    </w:p>
    <w:p w14:paraId="6E8A7DD3">
      <w:pPr>
        <w:pageBreakBefore w:val="0"/>
        <w:kinsoku/>
        <w:wordWrap/>
        <w:overflowPunct/>
        <w:topLinePunct w:val="0"/>
        <w:bidi w:val="0"/>
        <w:adjustRightInd w:val="0"/>
        <w:snapToGrid/>
        <w:spacing w:line="360" w:lineRule="exact"/>
        <w:ind w:firstLine="422" w:firstLineChars="200"/>
        <w:textAlignment w:val="auto"/>
        <w:rPr>
          <w:rFonts w:ascii="宋体" w:hAnsi="宋体" w:cs="宋体"/>
          <w:b/>
          <w:bCs/>
          <w:szCs w:val="21"/>
        </w:rPr>
      </w:pPr>
      <w:r>
        <w:rPr>
          <w:rFonts w:hint="eastAsia" w:ascii="宋体" w:hAnsi="宋体" w:cs="宋体"/>
          <w:b/>
          <w:bCs/>
          <w:szCs w:val="21"/>
        </w:rPr>
        <w:t>4.兼职教师</w:t>
      </w:r>
    </w:p>
    <w:p w14:paraId="0712CA95">
      <w:pPr>
        <w:pageBreakBefore w:val="0"/>
        <w:kinsoku/>
        <w:wordWrap/>
        <w:overflowPunct/>
        <w:topLinePunct w:val="0"/>
        <w:bidi w:val="0"/>
        <w:snapToGrid/>
        <w:spacing w:line="360" w:lineRule="exact"/>
        <w:ind w:firstLine="420" w:firstLineChars="200"/>
        <w:textAlignment w:val="auto"/>
        <w:rPr>
          <w:rFonts w:ascii="宋体" w:hAnsi="宋体" w:cs="宋体"/>
        </w:rPr>
      </w:pPr>
      <w:r>
        <w:rPr>
          <w:rFonts w:hint="eastAsia" w:ascii="宋体" w:hAnsi="宋体" w:cs="宋体"/>
        </w:rPr>
        <w:t>企业兼职教师配备有高级职称以及高技能人才比例，承担教学重要科目工作。</w:t>
      </w:r>
    </w:p>
    <w:p w14:paraId="617D8A79">
      <w:pPr>
        <w:pageBreakBefore w:val="0"/>
        <w:kinsoku/>
        <w:wordWrap/>
        <w:overflowPunct/>
        <w:topLinePunct w:val="0"/>
        <w:bidi w:val="0"/>
        <w:snapToGrid/>
        <w:spacing w:line="360" w:lineRule="exact"/>
        <w:ind w:firstLine="420" w:firstLineChars="200"/>
        <w:textAlignment w:val="auto"/>
        <w:rPr>
          <w:rFonts w:ascii="宋体" w:hAnsi="宋体" w:cs="宋体"/>
        </w:rPr>
      </w:pPr>
      <w:r>
        <w:rPr>
          <w:rFonts w:hint="eastAsia" w:ascii="宋体" w:hAnsi="宋体" w:cs="宋体"/>
        </w:rPr>
        <w:t>（1）生师比为1：19；</w:t>
      </w:r>
    </w:p>
    <w:p w14:paraId="52BB42D2">
      <w:pPr>
        <w:pageBreakBefore w:val="0"/>
        <w:kinsoku/>
        <w:wordWrap/>
        <w:overflowPunct/>
        <w:topLinePunct w:val="0"/>
        <w:bidi w:val="0"/>
        <w:snapToGrid/>
        <w:spacing w:line="360" w:lineRule="exact"/>
        <w:ind w:firstLine="420" w:firstLineChars="200"/>
        <w:textAlignment w:val="auto"/>
        <w:rPr>
          <w:rFonts w:ascii="宋体" w:hAnsi="宋体" w:cs="宋体"/>
        </w:rPr>
      </w:pPr>
      <w:r>
        <w:rPr>
          <w:rFonts w:hint="eastAsia" w:ascii="宋体" w:hAnsi="宋体" w:cs="宋体"/>
        </w:rPr>
        <w:t>（2）企业兼职教师学年承担B类和C类课程教学工作量占比为30%；</w:t>
      </w:r>
    </w:p>
    <w:p w14:paraId="52CC131B">
      <w:pPr>
        <w:pageBreakBefore w:val="0"/>
        <w:kinsoku/>
        <w:wordWrap/>
        <w:overflowPunct/>
        <w:topLinePunct w:val="0"/>
        <w:bidi w:val="0"/>
        <w:snapToGrid/>
        <w:spacing w:line="360" w:lineRule="exact"/>
        <w:ind w:firstLine="420" w:firstLineChars="200"/>
        <w:textAlignment w:val="auto"/>
        <w:rPr>
          <w:szCs w:val="21"/>
        </w:rPr>
      </w:pPr>
      <w:r>
        <w:rPr>
          <w:rFonts w:hint="eastAsia" w:ascii="宋体" w:hAnsi="宋体" w:cs="宋体"/>
        </w:rPr>
        <w:t>（4）具备国际视野（国际留学、访学或具备国际职业资格证书）教师比例≥为10%。</w:t>
      </w:r>
    </w:p>
    <w:p w14:paraId="448F3C92">
      <w:pPr>
        <w:pageBreakBefore w:val="0"/>
        <w:kinsoku/>
        <w:wordWrap/>
        <w:overflowPunct/>
        <w:topLinePunct w:val="0"/>
        <w:bidi w:val="0"/>
        <w:adjustRightInd w:val="0"/>
        <w:snapToGrid/>
        <w:spacing w:line="360" w:lineRule="exact"/>
        <w:ind w:firstLine="422" w:firstLineChars="200"/>
        <w:textAlignment w:val="auto"/>
        <w:rPr>
          <w:rFonts w:ascii="宋体" w:hAnsi="宋体" w:cs="宋体"/>
          <w:b/>
          <w:bCs/>
          <w:szCs w:val="21"/>
        </w:rPr>
      </w:pPr>
      <w:bookmarkStart w:id="30" w:name="_Toc32234"/>
      <w:bookmarkStart w:id="31" w:name="_Toc18436"/>
      <w:r>
        <w:rPr>
          <w:rFonts w:hint="eastAsia" w:ascii="宋体" w:hAnsi="宋体" w:cs="宋体"/>
          <w:b/>
          <w:bCs/>
          <w:szCs w:val="21"/>
        </w:rPr>
        <w:t>（二）教学设施</w:t>
      </w:r>
      <w:bookmarkEnd w:id="30"/>
      <w:bookmarkEnd w:id="31"/>
    </w:p>
    <w:p w14:paraId="458E44DC">
      <w:pPr>
        <w:pageBreakBefore w:val="0"/>
        <w:kinsoku/>
        <w:wordWrap/>
        <w:overflowPunct/>
        <w:topLinePunct w:val="0"/>
        <w:bidi w:val="0"/>
        <w:adjustRightInd w:val="0"/>
        <w:snapToGrid/>
        <w:spacing w:line="360" w:lineRule="exact"/>
        <w:ind w:firstLine="420" w:firstLineChars="200"/>
        <w:textAlignment w:val="auto"/>
        <w:rPr>
          <w:rFonts w:ascii="宋体" w:hAnsi="宋体" w:cs="宋体"/>
          <w:szCs w:val="21"/>
        </w:rPr>
      </w:pPr>
      <w:r>
        <w:rPr>
          <w:rFonts w:ascii="宋体" w:hAnsi="宋体" w:cs="宋体"/>
          <w:szCs w:val="21"/>
        </w:rPr>
        <w:t>主要包括能够满足正常的课程教学、实习实训所需的专业教室、实验室、实训室和实习实训基地</w:t>
      </w:r>
      <w:r>
        <w:rPr>
          <w:rFonts w:hint="eastAsia" w:ascii="宋体" w:hAnsi="宋体" w:cs="宋体"/>
          <w:szCs w:val="21"/>
        </w:rPr>
        <w:t>。</w:t>
      </w:r>
    </w:p>
    <w:p w14:paraId="7E6F104A">
      <w:pPr>
        <w:pageBreakBefore w:val="0"/>
        <w:kinsoku/>
        <w:wordWrap/>
        <w:overflowPunct/>
        <w:topLinePunct w:val="0"/>
        <w:bidi w:val="0"/>
        <w:adjustRightInd w:val="0"/>
        <w:snapToGrid/>
        <w:spacing w:line="360" w:lineRule="exact"/>
        <w:ind w:firstLine="422" w:firstLineChars="200"/>
        <w:textAlignment w:val="auto"/>
        <w:rPr>
          <w:rFonts w:ascii="宋体" w:hAnsi="宋体" w:cs="宋体"/>
          <w:b/>
          <w:bCs/>
          <w:szCs w:val="21"/>
        </w:rPr>
      </w:pPr>
      <w:r>
        <w:rPr>
          <w:rFonts w:ascii="宋体" w:hAnsi="宋体" w:cs="宋体"/>
          <w:b/>
          <w:bCs/>
          <w:szCs w:val="21"/>
        </w:rPr>
        <w:t>1.</w:t>
      </w:r>
      <w:r>
        <w:rPr>
          <w:rFonts w:hint="eastAsia" w:ascii="宋体" w:hAnsi="宋体" w:cs="宋体"/>
          <w:b/>
          <w:bCs/>
          <w:szCs w:val="21"/>
        </w:rPr>
        <w:t>专业教室基本要求</w:t>
      </w:r>
    </w:p>
    <w:p w14:paraId="2C8D15D9">
      <w:pPr>
        <w:pageBreakBefore w:val="0"/>
        <w:kinsoku/>
        <w:wordWrap/>
        <w:overflowPunct/>
        <w:topLinePunct w:val="0"/>
        <w:bidi w:val="0"/>
        <w:snapToGrid/>
        <w:spacing w:line="360" w:lineRule="exact"/>
        <w:ind w:firstLine="420" w:firstLineChars="200"/>
        <w:textAlignment w:val="auto"/>
        <w:rPr>
          <w:rFonts w:ascii="宋体" w:hAnsi="宋体" w:cs="宋体"/>
        </w:rPr>
      </w:pPr>
      <w:r>
        <w:rPr>
          <w:rFonts w:hint="eastAsia" w:ascii="宋体" w:hAnsi="宋体" w:cs="宋体"/>
        </w:rPr>
        <w:t>（1）标准化配备：配备多媒体教学设备（如交互式电子白板、投影仪、音响系统等），以及适合康复专业教学的桌椅布局，确保教学环境舒适且高效。</w:t>
      </w:r>
    </w:p>
    <w:p w14:paraId="40E43136">
      <w:pPr>
        <w:pageBreakBefore w:val="0"/>
        <w:kinsoku/>
        <w:wordWrap/>
        <w:overflowPunct/>
        <w:topLinePunct w:val="0"/>
        <w:bidi w:val="0"/>
        <w:snapToGrid/>
        <w:spacing w:line="360" w:lineRule="exact"/>
        <w:ind w:firstLine="420" w:firstLineChars="200"/>
        <w:textAlignment w:val="auto"/>
        <w:rPr>
          <w:rFonts w:ascii="宋体" w:hAnsi="宋体" w:cs="宋体"/>
        </w:rPr>
      </w:pPr>
      <w:r>
        <w:rPr>
          <w:rFonts w:hint="eastAsia" w:ascii="宋体" w:hAnsi="宋体" w:cs="宋体"/>
        </w:rPr>
        <w:t>（2）专业教材与资源：收藏国内外最新的智慧养老专业教材、参考书籍、期刊杂志及电子资源，为师生提供丰富的学习资料。</w:t>
      </w:r>
    </w:p>
    <w:p w14:paraId="37821A60">
      <w:pPr>
        <w:pageBreakBefore w:val="0"/>
        <w:kinsoku/>
        <w:wordWrap/>
        <w:overflowPunct/>
        <w:topLinePunct w:val="0"/>
        <w:bidi w:val="0"/>
        <w:snapToGrid/>
        <w:spacing w:line="360" w:lineRule="exact"/>
        <w:ind w:firstLine="420" w:firstLineChars="200"/>
        <w:textAlignment w:val="auto"/>
        <w:rPr>
          <w:rFonts w:ascii="宋体" w:hAnsi="宋体" w:cs="宋体"/>
        </w:rPr>
      </w:pPr>
      <w:r>
        <w:rPr>
          <w:rFonts w:hint="eastAsia" w:ascii="宋体" w:hAnsi="宋体" w:cs="宋体"/>
        </w:rPr>
        <w:t>（3）网络接入：保证教室无线网络覆盖，便于师生利用在线资源进行辅助教学和学习。</w:t>
      </w:r>
    </w:p>
    <w:p w14:paraId="38A29471">
      <w:pPr>
        <w:pageBreakBefore w:val="0"/>
        <w:kinsoku/>
        <w:wordWrap/>
        <w:overflowPunct/>
        <w:topLinePunct w:val="0"/>
        <w:bidi w:val="0"/>
        <w:adjustRightInd w:val="0"/>
        <w:snapToGrid/>
        <w:spacing w:line="360" w:lineRule="exact"/>
        <w:ind w:firstLine="422" w:firstLineChars="200"/>
        <w:textAlignment w:val="auto"/>
        <w:rPr>
          <w:rFonts w:ascii="宋体" w:hAnsi="宋体" w:cs="宋体"/>
          <w:b/>
          <w:bCs/>
          <w:szCs w:val="21"/>
        </w:rPr>
      </w:pPr>
      <w:r>
        <w:rPr>
          <w:rFonts w:hint="eastAsia" w:ascii="宋体" w:hAnsi="宋体" w:cs="宋体"/>
          <w:b/>
          <w:bCs/>
          <w:szCs w:val="21"/>
        </w:rPr>
        <w:t>2.校内实训室（基地）基本要求</w:t>
      </w:r>
    </w:p>
    <w:p w14:paraId="1FDC3918">
      <w:pPr>
        <w:pageBreakBefore w:val="0"/>
        <w:kinsoku/>
        <w:wordWrap/>
        <w:overflowPunct/>
        <w:topLinePunct w:val="0"/>
        <w:bidi w:val="0"/>
        <w:snapToGrid/>
        <w:spacing w:line="360" w:lineRule="exact"/>
        <w:ind w:firstLine="420" w:firstLineChars="200"/>
        <w:textAlignment w:val="auto"/>
        <w:rPr>
          <w:rFonts w:ascii="宋体" w:hAnsi="宋体" w:cs="宋体"/>
        </w:rPr>
      </w:pPr>
      <w:r>
        <w:rPr>
          <w:rFonts w:hint="eastAsia"/>
          <w:szCs w:val="21"/>
        </w:rPr>
        <w:t>（</w:t>
      </w:r>
      <w:r>
        <w:rPr>
          <w:rFonts w:hint="eastAsia" w:ascii="宋体" w:hAnsi="宋体" w:cs="宋体"/>
        </w:rPr>
        <w:t>1）模拟实训区：设置养老照护、老年中医养生保健、健康评估、老年心理护理等模拟实训区，配备专业智慧养老器材与设备。</w:t>
      </w:r>
    </w:p>
    <w:p w14:paraId="6C97083E">
      <w:pPr>
        <w:pageBreakBefore w:val="0"/>
        <w:kinsoku/>
        <w:wordWrap/>
        <w:overflowPunct/>
        <w:topLinePunct w:val="0"/>
        <w:bidi w:val="0"/>
        <w:snapToGrid/>
        <w:spacing w:line="360" w:lineRule="exact"/>
        <w:ind w:firstLine="420" w:firstLineChars="200"/>
        <w:textAlignment w:val="auto"/>
        <w:rPr>
          <w:rFonts w:ascii="宋体" w:hAnsi="宋体" w:cs="宋体"/>
        </w:rPr>
      </w:pPr>
      <w:r>
        <w:rPr>
          <w:rFonts w:hint="eastAsia" w:ascii="宋体" w:hAnsi="宋体" w:cs="宋体"/>
        </w:rPr>
        <w:t>（2）情景模拟室：建立模拟养老照护病房、养老机构中心等场景，让学生在接近真实的工作环境中进行技能训练。</w:t>
      </w:r>
    </w:p>
    <w:p w14:paraId="09D79FEF">
      <w:pPr>
        <w:pageBreakBefore w:val="0"/>
        <w:kinsoku/>
        <w:wordWrap/>
        <w:overflowPunct/>
        <w:topLinePunct w:val="0"/>
        <w:bidi w:val="0"/>
        <w:snapToGrid/>
        <w:spacing w:line="360" w:lineRule="exact"/>
        <w:ind w:firstLine="420" w:firstLineChars="200"/>
        <w:textAlignment w:val="auto"/>
        <w:rPr>
          <w:rFonts w:ascii="宋体" w:hAnsi="宋体" w:cs="宋体"/>
        </w:rPr>
      </w:pPr>
      <w:r>
        <w:rPr>
          <w:rFonts w:hint="eastAsia" w:ascii="宋体" w:hAnsi="宋体" w:cs="宋体"/>
        </w:rPr>
        <w:t>（3）安全与管理：确保实训室符合安全标准，定期维护设备，建立健全实训管理制度，保障实训教学有序进行。</w:t>
      </w:r>
    </w:p>
    <w:p w14:paraId="14ED3DFB">
      <w:pPr>
        <w:pStyle w:val="2"/>
        <w:pageBreakBefore w:val="0"/>
        <w:kinsoku/>
        <w:wordWrap/>
        <w:overflowPunct/>
        <w:topLinePunct w:val="0"/>
        <w:bidi w:val="0"/>
        <w:snapToGrid/>
        <w:spacing w:after="0" w:line="360" w:lineRule="exact"/>
        <w:textAlignment w:val="auto"/>
      </w:pPr>
    </w:p>
    <w:p w14:paraId="022421E7">
      <w:pPr>
        <w:pStyle w:val="2"/>
        <w:pageBreakBefore w:val="0"/>
        <w:kinsoku/>
        <w:wordWrap/>
        <w:overflowPunct/>
        <w:topLinePunct w:val="0"/>
        <w:bidi w:val="0"/>
        <w:adjustRightInd w:val="0"/>
        <w:snapToGrid/>
        <w:spacing w:after="0" w:line="360" w:lineRule="exact"/>
        <w:jc w:val="center"/>
        <w:textAlignment w:val="auto"/>
        <w:rPr>
          <w:b/>
          <w:bCs/>
          <w:szCs w:val="21"/>
        </w:rPr>
      </w:pPr>
      <w:r>
        <w:rPr>
          <w:rFonts w:hint="eastAsia"/>
          <w:b/>
          <w:bCs/>
          <w:szCs w:val="21"/>
        </w:rPr>
        <w:t>校内实训室概况</w:t>
      </w:r>
    </w:p>
    <w:tbl>
      <w:tblPr>
        <w:tblStyle w:val="15"/>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7"/>
        <w:gridCol w:w="1975"/>
        <w:gridCol w:w="2516"/>
        <w:gridCol w:w="1132"/>
        <w:gridCol w:w="1174"/>
        <w:gridCol w:w="1644"/>
      </w:tblGrid>
      <w:tr w14:paraId="6CAB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381" w:type="pct"/>
            <w:vAlign w:val="center"/>
          </w:tcPr>
          <w:p w14:paraId="65070BE5">
            <w:pPr>
              <w:pageBreakBefore w:val="0"/>
              <w:kinsoku/>
              <w:wordWrap/>
              <w:overflowPunct/>
              <w:topLinePunct w:val="0"/>
              <w:bidi w:val="0"/>
              <w:adjustRightInd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序号</w:t>
            </w:r>
          </w:p>
        </w:tc>
        <w:tc>
          <w:tcPr>
            <w:tcW w:w="1080" w:type="pct"/>
            <w:vAlign w:val="center"/>
          </w:tcPr>
          <w:p w14:paraId="3AB8C835">
            <w:pPr>
              <w:pageBreakBefore w:val="0"/>
              <w:kinsoku/>
              <w:wordWrap/>
              <w:overflowPunct/>
              <w:topLinePunct w:val="0"/>
              <w:bidi w:val="0"/>
              <w:adjustRightInd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实验/实训室名称</w:t>
            </w:r>
          </w:p>
        </w:tc>
        <w:tc>
          <w:tcPr>
            <w:tcW w:w="1376" w:type="pct"/>
            <w:vAlign w:val="center"/>
          </w:tcPr>
          <w:p w14:paraId="113376CF">
            <w:pPr>
              <w:pageBreakBefore w:val="0"/>
              <w:kinsoku/>
              <w:wordWrap/>
              <w:overflowPunct/>
              <w:topLinePunct w:val="0"/>
              <w:bidi w:val="0"/>
              <w:adjustRightInd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功能（实训实习项目）</w:t>
            </w:r>
          </w:p>
        </w:tc>
        <w:tc>
          <w:tcPr>
            <w:tcW w:w="619" w:type="pct"/>
            <w:vAlign w:val="center"/>
          </w:tcPr>
          <w:p w14:paraId="574289EB">
            <w:pPr>
              <w:pageBreakBefore w:val="0"/>
              <w:kinsoku/>
              <w:wordWrap/>
              <w:overflowPunct/>
              <w:topLinePunct w:val="0"/>
              <w:bidi w:val="0"/>
              <w:adjustRightInd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面积（㎡）</w:t>
            </w:r>
          </w:p>
        </w:tc>
        <w:tc>
          <w:tcPr>
            <w:tcW w:w="642" w:type="pct"/>
            <w:vAlign w:val="center"/>
          </w:tcPr>
          <w:p w14:paraId="4C61C8DC">
            <w:pPr>
              <w:pageBreakBefore w:val="0"/>
              <w:kinsoku/>
              <w:wordWrap/>
              <w:overflowPunct/>
              <w:topLinePunct w:val="0"/>
              <w:bidi w:val="0"/>
              <w:adjustRightInd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工位数（个）</w:t>
            </w:r>
          </w:p>
        </w:tc>
        <w:tc>
          <w:tcPr>
            <w:tcW w:w="899" w:type="pct"/>
            <w:vAlign w:val="center"/>
          </w:tcPr>
          <w:p w14:paraId="28B69527">
            <w:pPr>
              <w:pageBreakBefore w:val="0"/>
              <w:kinsoku/>
              <w:wordWrap/>
              <w:overflowPunct/>
              <w:topLinePunct w:val="0"/>
              <w:bidi w:val="0"/>
              <w:adjustRightInd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支撑课程</w:t>
            </w:r>
          </w:p>
        </w:tc>
      </w:tr>
      <w:tr w14:paraId="06DC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81" w:type="pct"/>
            <w:tcFitText/>
            <w:vAlign w:val="center"/>
          </w:tcPr>
          <w:p w14:paraId="51FD0BC3">
            <w:pPr>
              <w:pageBreakBefore w:val="0"/>
              <w:kinsoku/>
              <w:wordWrap/>
              <w:overflowPunct/>
              <w:topLinePunct w:val="0"/>
              <w:bidi w:val="0"/>
              <w:snapToGrid/>
              <w:spacing w:line="360" w:lineRule="exact"/>
              <w:jc w:val="center"/>
              <w:textAlignment w:val="auto"/>
              <w:rPr>
                <w:rFonts w:ascii="宋体" w:hAnsi="宋体" w:cs="宋体"/>
                <w:color w:val="548DD4"/>
                <w:sz w:val="18"/>
                <w:szCs w:val="18"/>
              </w:rPr>
            </w:pPr>
            <w:r>
              <w:rPr>
                <w:rFonts w:hint="eastAsia" w:ascii="宋体" w:hAnsi="宋体" w:cs="宋体"/>
                <w:sz w:val="18"/>
                <w:szCs w:val="18"/>
              </w:rPr>
              <w:t>1</w:t>
            </w:r>
          </w:p>
        </w:tc>
        <w:tc>
          <w:tcPr>
            <w:tcW w:w="1080" w:type="pct"/>
            <w:vAlign w:val="center"/>
          </w:tcPr>
          <w:p w14:paraId="2CEE76B0">
            <w:pPr>
              <w:pStyle w:val="6"/>
              <w:pageBreakBefore w:val="0"/>
              <w:kinsoku/>
              <w:wordWrap/>
              <w:overflowPunct/>
              <w:topLinePunct w:val="0"/>
              <w:bidi w:val="0"/>
              <w:snapToGrid/>
              <w:spacing w:line="360" w:lineRule="exact"/>
              <w:jc w:val="center"/>
              <w:textAlignment w:val="auto"/>
              <w:outlineLvl w:val="3"/>
              <w:rPr>
                <w:rFonts w:ascii="宋体" w:hAnsi="宋体" w:cs="宋体"/>
                <w:b w:val="0"/>
                <w:sz w:val="18"/>
                <w:szCs w:val="18"/>
              </w:rPr>
            </w:pPr>
            <w:r>
              <w:rPr>
                <w:rFonts w:hint="eastAsia" w:ascii="宋体" w:hAnsi="宋体" w:cs="宋体"/>
                <w:b w:val="0"/>
                <w:color w:val="auto"/>
                <w:sz w:val="18"/>
                <w:szCs w:val="18"/>
              </w:rPr>
              <w:t>智慧康养实训室</w:t>
            </w:r>
          </w:p>
        </w:tc>
        <w:tc>
          <w:tcPr>
            <w:tcW w:w="1376" w:type="pct"/>
            <w:vAlign w:val="center"/>
          </w:tcPr>
          <w:p w14:paraId="68CC668D">
            <w:pPr>
              <w:keepNext/>
              <w:keepLines/>
              <w:pageBreakBefore w:val="0"/>
              <w:kinsoku/>
              <w:wordWrap/>
              <w:overflowPunct/>
              <w:topLinePunct w:val="0"/>
              <w:bidi w:val="0"/>
              <w:snapToGrid/>
              <w:spacing w:line="360" w:lineRule="exact"/>
              <w:jc w:val="center"/>
              <w:textAlignment w:val="auto"/>
              <w:outlineLvl w:val="3"/>
              <w:rPr>
                <w:rFonts w:ascii="宋体" w:hAnsi="宋体" w:cs="宋体"/>
                <w:sz w:val="18"/>
                <w:szCs w:val="18"/>
              </w:rPr>
            </w:pPr>
            <w:r>
              <w:rPr>
                <w:rFonts w:hint="eastAsia" w:ascii="宋体" w:hAnsi="宋体" w:cs="宋体"/>
                <w:sz w:val="18"/>
                <w:szCs w:val="18"/>
              </w:rPr>
              <w:t>老年人康复评定技术、智能评估与个性化康养计划制定、认识人体结构、健康评估技能、老年护理技术</w:t>
            </w:r>
          </w:p>
        </w:tc>
        <w:tc>
          <w:tcPr>
            <w:tcW w:w="619" w:type="pct"/>
            <w:vAlign w:val="center"/>
          </w:tcPr>
          <w:p w14:paraId="0A1381BF">
            <w:pPr>
              <w:pStyle w:val="6"/>
              <w:pageBreakBefore w:val="0"/>
              <w:kinsoku/>
              <w:wordWrap/>
              <w:overflowPunct/>
              <w:topLinePunct w:val="0"/>
              <w:bidi w:val="0"/>
              <w:snapToGrid/>
              <w:spacing w:line="360" w:lineRule="exact"/>
              <w:jc w:val="center"/>
              <w:textAlignment w:val="auto"/>
              <w:outlineLvl w:val="3"/>
              <w:rPr>
                <w:rFonts w:ascii="宋体" w:hAnsi="宋体" w:cs="宋体"/>
                <w:b w:val="0"/>
                <w:sz w:val="18"/>
                <w:szCs w:val="18"/>
              </w:rPr>
            </w:pPr>
            <w:r>
              <w:rPr>
                <w:rFonts w:hint="eastAsia" w:ascii="宋体" w:hAnsi="宋体" w:cs="宋体"/>
                <w:b w:val="0"/>
                <w:color w:val="auto"/>
                <w:sz w:val="18"/>
                <w:szCs w:val="18"/>
              </w:rPr>
              <w:t>100</w:t>
            </w:r>
          </w:p>
        </w:tc>
        <w:tc>
          <w:tcPr>
            <w:tcW w:w="642" w:type="pct"/>
            <w:vAlign w:val="center"/>
          </w:tcPr>
          <w:p w14:paraId="21BF0825">
            <w:pPr>
              <w:pStyle w:val="6"/>
              <w:pageBreakBefore w:val="0"/>
              <w:kinsoku/>
              <w:wordWrap/>
              <w:overflowPunct/>
              <w:topLinePunct w:val="0"/>
              <w:bidi w:val="0"/>
              <w:snapToGrid/>
              <w:spacing w:line="360" w:lineRule="exact"/>
              <w:jc w:val="center"/>
              <w:textAlignment w:val="auto"/>
              <w:outlineLvl w:val="3"/>
              <w:rPr>
                <w:rFonts w:ascii="宋体" w:hAnsi="宋体" w:cs="宋体"/>
                <w:b w:val="0"/>
                <w:sz w:val="18"/>
                <w:szCs w:val="18"/>
                <w:lang w:val="zh-CN"/>
              </w:rPr>
            </w:pPr>
            <w:r>
              <w:rPr>
                <w:rFonts w:hint="eastAsia" w:ascii="宋体" w:hAnsi="宋体" w:cs="宋体"/>
                <w:b w:val="0"/>
                <w:color w:val="auto"/>
                <w:sz w:val="18"/>
                <w:szCs w:val="18"/>
              </w:rPr>
              <w:t>30</w:t>
            </w:r>
          </w:p>
        </w:tc>
        <w:tc>
          <w:tcPr>
            <w:tcW w:w="899" w:type="pct"/>
            <w:vAlign w:val="center"/>
          </w:tcPr>
          <w:p w14:paraId="4997BD1D">
            <w:pPr>
              <w:keepNext/>
              <w:keepLines/>
              <w:pageBreakBefore w:val="0"/>
              <w:kinsoku/>
              <w:wordWrap/>
              <w:overflowPunct/>
              <w:topLinePunct w:val="0"/>
              <w:bidi w:val="0"/>
              <w:snapToGrid/>
              <w:spacing w:line="360" w:lineRule="exact"/>
              <w:jc w:val="center"/>
              <w:textAlignment w:val="auto"/>
              <w:outlineLvl w:val="3"/>
              <w:rPr>
                <w:rFonts w:ascii="宋体" w:hAnsi="宋体" w:cs="宋体"/>
                <w:sz w:val="18"/>
                <w:szCs w:val="18"/>
              </w:rPr>
            </w:pPr>
            <w:r>
              <w:rPr>
                <w:rFonts w:hint="eastAsia" w:ascii="宋体" w:hAnsi="宋体" w:cs="宋体"/>
                <w:sz w:val="18"/>
                <w:szCs w:val="18"/>
              </w:rPr>
              <w:t>健康评估、老年基础照护、老年人心理护理</w:t>
            </w:r>
          </w:p>
        </w:tc>
      </w:tr>
      <w:tr w14:paraId="44F8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81" w:type="pct"/>
            <w:tcFitText/>
            <w:vAlign w:val="center"/>
          </w:tcPr>
          <w:p w14:paraId="7AC5F537">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2</w:t>
            </w:r>
          </w:p>
        </w:tc>
        <w:tc>
          <w:tcPr>
            <w:tcW w:w="1080" w:type="pct"/>
            <w:vAlign w:val="center"/>
          </w:tcPr>
          <w:p w14:paraId="59FFF2E2">
            <w:pPr>
              <w:pStyle w:val="6"/>
              <w:pageBreakBefore w:val="0"/>
              <w:kinsoku/>
              <w:wordWrap/>
              <w:overflowPunct/>
              <w:topLinePunct w:val="0"/>
              <w:bidi w:val="0"/>
              <w:snapToGrid/>
              <w:spacing w:line="360" w:lineRule="exact"/>
              <w:jc w:val="center"/>
              <w:textAlignment w:val="auto"/>
              <w:outlineLvl w:val="3"/>
              <w:rPr>
                <w:rFonts w:ascii="宋体" w:hAnsi="宋体" w:cs="宋体"/>
                <w:b w:val="0"/>
                <w:color w:val="auto"/>
                <w:sz w:val="18"/>
                <w:szCs w:val="18"/>
              </w:rPr>
            </w:pPr>
            <w:r>
              <w:rPr>
                <w:rFonts w:hint="eastAsia" w:ascii="宋体" w:hAnsi="宋体" w:cs="宋体"/>
                <w:b w:val="0"/>
                <w:color w:val="auto"/>
                <w:sz w:val="18"/>
                <w:szCs w:val="18"/>
              </w:rPr>
              <w:t>中医养生保健实训室</w:t>
            </w:r>
          </w:p>
        </w:tc>
        <w:tc>
          <w:tcPr>
            <w:tcW w:w="1376" w:type="pct"/>
            <w:vAlign w:val="center"/>
          </w:tcPr>
          <w:p w14:paraId="7EAA6F7F">
            <w:pPr>
              <w:pStyle w:val="6"/>
              <w:pageBreakBefore w:val="0"/>
              <w:kinsoku/>
              <w:wordWrap/>
              <w:overflowPunct/>
              <w:topLinePunct w:val="0"/>
              <w:bidi w:val="0"/>
              <w:snapToGrid/>
              <w:spacing w:line="360" w:lineRule="exact"/>
              <w:textAlignment w:val="auto"/>
              <w:outlineLvl w:val="3"/>
              <w:rPr>
                <w:rFonts w:ascii="宋体" w:hAnsi="宋体" w:cs="宋体"/>
                <w:b w:val="0"/>
                <w:color w:val="auto"/>
                <w:sz w:val="18"/>
                <w:szCs w:val="18"/>
              </w:rPr>
            </w:pPr>
            <w:r>
              <w:rPr>
                <w:rFonts w:hint="eastAsia" w:ascii="宋体" w:hAnsi="宋体" w:cs="宋体"/>
                <w:b w:val="0"/>
                <w:color w:val="auto"/>
                <w:sz w:val="18"/>
                <w:szCs w:val="18"/>
              </w:rPr>
              <w:t>老年中医养生保健项目、艾灸、理疗、刮痧、推拿按摩</w:t>
            </w:r>
          </w:p>
        </w:tc>
        <w:tc>
          <w:tcPr>
            <w:tcW w:w="619" w:type="pct"/>
            <w:vAlign w:val="center"/>
          </w:tcPr>
          <w:p w14:paraId="7C3F3DD1">
            <w:pPr>
              <w:pStyle w:val="6"/>
              <w:pageBreakBefore w:val="0"/>
              <w:kinsoku/>
              <w:wordWrap/>
              <w:overflowPunct/>
              <w:topLinePunct w:val="0"/>
              <w:bidi w:val="0"/>
              <w:snapToGrid/>
              <w:spacing w:line="360" w:lineRule="exact"/>
              <w:jc w:val="center"/>
              <w:textAlignment w:val="auto"/>
              <w:outlineLvl w:val="3"/>
              <w:rPr>
                <w:rFonts w:ascii="宋体" w:hAnsi="宋体" w:cs="宋体"/>
                <w:b w:val="0"/>
                <w:color w:val="auto"/>
                <w:sz w:val="18"/>
                <w:szCs w:val="18"/>
              </w:rPr>
            </w:pPr>
            <w:r>
              <w:rPr>
                <w:rFonts w:hint="eastAsia" w:ascii="宋体" w:hAnsi="宋体" w:cs="宋体"/>
                <w:b w:val="0"/>
                <w:color w:val="auto"/>
                <w:sz w:val="18"/>
                <w:szCs w:val="18"/>
              </w:rPr>
              <w:t>60</w:t>
            </w:r>
          </w:p>
        </w:tc>
        <w:tc>
          <w:tcPr>
            <w:tcW w:w="642" w:type="pct"/>
            <w:vAlign w:val="center"/>
          </w:tcPr>
          <w:p w14:paraId="70DE93F0">
            <w:pPr>
              <w:pStyle w:val="6"/>
              <w:pageBreakBefore w:val="0"/>
              <w:kinsoku/>
              <w:wordWrap/>
              <w:overflowPunct/>
              <w:topLinePunct w:val="0"/>
              <w:bidi w:val="0"/>
              <w:snapToGrid/>
              <w:spacing w:line="360" w:lineRule="exact"/>
              <w:jc w:val="center"/>
              <w:textAlignment w:val="auto"/>
              <w:outlineLvl w:val="3"/>
              <w:rPr>
                <w:rFonts w:ascii="宋体" w:hAnsi="宋体" w:cs="宋体"/>
                <w:b w:val="0"/>
                <w:color w:val="auto"/>
                <w:sz w:val="18"/>
                <w:szCs w:val="18"/>
              </w:rPr>
            </w:pPr>
            <w:r>
              <w:rPr>
                <w:rFonts w:hint="eastAsia" w:ascii="宋体" w:hAnsi="宋体" w:cs="宋体"/>
                <w:b w:val="0"/>
                <w:color w:val="auto"/>
                <w:sz w:val="18"/>
                <w:szCs w:val="18"/>
              </w:rPr>
              <w:t>30</w:t>
            </w:r>
          </w:p>
        </w:tc>
        <w:tc>
          <w:tcPr>
            <w:tcW w:w="899" w:type="pct"/>
            <w:vAlign w:val="center"/>
          </w:tcPr>
          <w:p w14:paraId="786E62B6">
            <w:pPr>
              <w:keepNext/>
              <w:keepLines/>
              <w:pageBreakBefore w:val="0"/>
              <w:kinsoku/>
              <w:wordWrap/>
              <w:overflowPunct/>
              <w:topLinePunct w:val="0"/>
              <w:bidi w:val="0"/>
              <w:snapToGrid/>
              <w:spacing w:line="360" w:lineRule="exact"/>
              <w:jc w:val="center"/>
              <w:textAlignment w:val="auto"/>
              <w:outlineLvl w:val="3"/>
              <w:rPr>
                <w:rFonts w:ascii="宋体" w:hAnsi="宋体" w:cs="宋体"/>
                <w:sz w:val="18"/>
                <w:szCs w:val="18"/>
              </w:rPr>
            </w:pPr>
            <w:r>
              <w:rPr>
                <w:rFonts w:hint="eastAsia" w:ascii="宋体" w:hAnsi="宋体" w:cs="宋体"/>
                <w:sz w:val="18"/>
                <w:szCs w:val="18"/>
              </w:rPr>
              <w:t>老年中医养生保健、中国传统康复技术</w:t>
            </w:r>
          </w:p>
        </w:tc>
      </w:tr>
      <w:tr w14:paraId="6EB0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81" w:type="pct"/>
            <w:tcFitText/>
            <w:vAlign w:val="center"/>
          </w:tcPr>
          <w:p w14:paraId="382A1AD1">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3</w:t>
            </w:r>
          </w:p>
        </w:tc>
        <w:tc>
          <w:tcPr>
            <w:tcW w:w="1080" w:type="pct"/>
            <w:vAlign w:val="center"/>
          </w:tcPr>
          <w:p w14:paraId="68B9C167">
            <w:pPr>
              <w:pStyle w:val="6"/>
              <w:pageBreakBefore w:val="0"/>
              <w:kinsoku/>
              <w:wordWrap/>
              <w:overflowPunct/>
              <w:topLinePunct w:val="0"/>
              <w:bidi w:val="0"/>
              <w:snapToGrid/>
              <w:spacing w:line="360" w:lineRule="exact"/>
              <w:jc w:val="center"/>
              <w:textAlignment w:val="auto"/>
              <w:outlineLvl w:val="3"/>
              <w:rPr>
                <w:rFonts w:ascii="宋体" w:hAnsi="宋体" w:cs="宋体"/>
                <w:b w:val="0"/>
                <w:color w:val="auto"/>
                <w:sz w:val="18"/>
                <w:szCs w:val="18"/>
              </w:rPr>
            </w:pPr>
            <w:r>
              <w:rPr>
                <w:rFonts w:hint="eastAsia" w:ascii="宋体" w:hAnsi="宋体" w:cs="宋体"/>
                <w:b w:val="0"/>
                <w:color w:val="auto"/>
                <w:sz w:val="18"/>
                <w:szCs w:val="18"/>
              </w:rPr>
              <w:t>人体解剖实训室</w:t>
            </w:r>
          </w:p>
        </w:tc>
        <w:tc>
          <w:tcPr>
            <w:tcW w:w="1376" w:type="pct"/>
            <w:vAlign w:val="center"/>
          </w:tcPr>
          <w:p w14:paraId="06B1067E">
            <w:pPr>
              <w:pStyle w:val="6"/>
              <w:pageBreakBefore w:val="0"/>
              <w:kinsoku/>
              <w:wordWrap/>
              <w:overflowPunct/>
              <w:topLinePunct w:val="0"/>
              <w:bidi w:val="0"/>
              <w:snapToGrid/>
              <w:spacing w:line="360" w:lineRule="exact"/>
              <w:jc w:val="center"/>
              <w:textAlignment w:val="auto"/>
              <w:outlineLvl w:val="3"/>
              <w:rPr>
                <w:rFonts w:ascii="宋体" w:hAnsi="宋体" w:cs="宋体"/>
                <w:b w:val="0"/>
                <w:color w:val="auto"/>
                <w:sz w:val="18"/>
                <w:szCs w:val="18"/>
              </w:rPr>
            </w:pPr>
            <w:r>
              <w:rPr>
                <w:rFonts w:hint="eastAsia" w:ascii="宋体" w:hAnsi="宋体" w:cs="宋体"/>
                <w:b w:val="0"/>
                <w:color w:val="auto"/>
                <w:sz w:val="18"/>
                <w:szCs w:val="18"/>
              </w:rPr>
              <w:t>正常人体结构的功能与认识、人体解剖结构基础</w:t>
            </w:r>
          </w:p>
        </w:tc>
        <w:tc>
          <w:tcPr>
            <w:tcW w:w="619" w:type="pct"/>
            <w:vAlign w:val="center"/>
          </w:tcPr>
          <w:p w14:paraId="2E3B55A2">
            <w:pPr>
              <w:pStyle w:val="6"/>
              <w:pageBreakBefore w:val="0"/>
              <w:kinsoku/>
              <w:wordWrap/>
              <w:overflowPunct/>
              <w:topLinePunct w:val="0"/>
              <w:bidi w:val="0"/>
              <w:snapToGrid/>
              <w:spacing w:line="360" w:lineRule="exact"/>
              <w:jc w:val="center"/>
              <w:textAlignment w:val="auto"/>
              <w:outlineLvl w:val="3"/>
              <w:rPr>
                <w:rFonts w:ascii="宋体" w:hAnsi="宋体" w:cs="宋体"/>
                <w:b w:val="0"/>
                <w:color w:val="auto"/>
                <w:sz w:val="18"/>
                <w:szCs w:val="18"/>
              </w:rPr>
            </w:pPr>
            <w:r>
              <w:rPr>
                <w:rFonts w:hint="eastAsia" w:ascii="宋体" w:hAnsi="宋体" w:cs="宋体"/>
                <w:b w:val="0"/>
                <w:color w:val="auto"/>
                <w:sz w:val="18"/>
                <w:szCs w:val="18"/>
              </w:rPr>
              <w:t>100</w:t>
            </w:r>
          </w:p>
        </w:tc>
        <w:tc>
          <w:tcPr>
            <w:tcW w:w="642" w:type="pct"/>
            <w:vAlign w:val="center"/>
          </w:tcPr>
          <w:p w14:paraId="46D1354C">
            <w:pPr>
              <w:pStyle w:val="6"/>
              <w:pageBreakBefore w:val="0"/>
              <w:kinsoku/>
              <w:wordWrap/>
              <w:overflowPunct/>
              <w:topLinePunct w:val="0"/>
              <w:bidi w:val="0"/>
              <w:snapToGrid/>
              <w:spacing w:line="360" w:lineRule="exact"/>
              <w:jc w:val="center"/>
              <w:textAlignment w:val="auto"/>
              <w:outlineLvl w:val="3"/>
              <w:rPr>
                <w:rFonts w:ascii="宋体" w:hAnsi="宋体" w:cs="宋体"/>
                <w:b w:val="0"/>
                <w:color w:val="auto"/>
                <w:sz w:val="18"/>
                <w:szCs w:val="18"/>
              </w:rPr>
            </w:pPr>
            <w:r>
              <w:rPr>
                <w:rFonts w:hint="eastAsia" w:ascii="宋体" w:hAnsi="宋体" w:cs="宋体"/>
                <w:b w:val="0"/>
                <w:color w:val="auto"/>
                <w:sz w:val="18"/>
                <w:szCs w:val="18"/>
              </w:rPr>
              <w:t>30</w:t>
            </w:r>
          </w:p>
        </w:tc>
        <w:tc>
          <w:tcPr>
            <w:tcW w:w="899" w:type="pct"/>
            <w:vAlign w:val="center"/>
          </w:tcPr>
          <w:p w14:paraId="5127A1B8">
            <w:pPr>
              <w:keepNext/>
              <w:keepLines/>
              <w:pageBreakBefore w:val="0"/>
              <w:kinsoku/>
              <w:wordWrap/>
              <w:overflowPunct/>
              <w:topLinePunct w:val="0"/>
              <w:bidi w:val="0"/>
              <w:snapToGrid/>
              <w:spacing w:line="360" w:lineRule="exact"/>
              <w:jc w:val="center"/>
              <w:textAlignment w:val="auto"/>
              <w:outlineLvl w:val="3"/>
              <w:rPr>
                <w:rFonts w:ascii="宋体" w:hAnsi="宋体" w:cs="宋体"/>
                <w:sz w:val="18"/>
                <w:szCs w:val="18"/>
              </w:rPr>
            </w:pPr>
            <w:r>
              <w:rPr>
                <w:rFonts w:hint="eastAsia" w:ascii="宋体" w:hAnsi="宋体" w:cs="宋体"/>
                <w:sz w:val="18"/>
                <w:szCs w:val="18"/>
              </w:rPr>
              <w:t>正常人体结构与功能</w:t>
            </w:r>
          </w:p>
        </w:tc>
      </w:tr>
    </w:tbl>
    <w:p w14:paraId="607DB09F">
      <w:pPr>
        <w:pageBreakBefore w:val="0"/>
        <w:kinsoku/>
        <w:wordWrap/>
        <w:overflowPunct/>
        <w:topLinePunct w:val="0"/>
        <w:bidi w:val="0"/>
        <w:adjustRightInd w:val="0"/>
        <w:snapToGrid/>
        <w:spacing w:line="360" w:lineRule="exact"/>
        <w:ind w:firstLine="422" w:firstLineChars="200"/>
        <w:textAlignment w:val="auto"/>
        <w:rPr>
          <w:rFonts w:ascii="宋体" w:hAnsi="宋体" w:cs="宋体"/>
          <w:b/>
          <w:bCs/>
          <w:szCs w:val="21"/>
        </w:rPr>
      </w:pPr>
      <w:r>
        <w:rPr>
          <w:rFonts w:hint="eastAsia" w:ascii="宋体" w:hAnsi="宋体" w:cs="宋体"/>
          <w:b/>
          <w:bCs/>
          <w:szCs w:val="21"/>
        </w:rPr>
        <w:t>3.校外实训基地基本要求</w:t>
      </w:r>
    </w:p>
    <w:p w14:paraId="5D99CC9A">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（1）合作共建：与当地养老中心、社区服务中心等建立稳定合作关系，为学生提供多样化实训机会。</w:t>
      </w:r>
    </w:p>
    <w:p w14:paraId="5B52C041">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（2）实战演练：确保学生能在基地参与真实案例分析、患者评估与治疗计划制定等，增强实践操作能力。</w:t>
      </w:r>
    </w:p>
    <w:p w14:paraId="72BD9120">
      <w:pPr>
        <w:pageBreakBefore w:val="0"/>
        <w:kinsoku/>
        <w:wordWrap/>
        <w:overflowPunct/>
        <w:topLinePunct w:val="0"/>
        <w:bidi w:val="0"/>
        <w:adjustRightInd w:val="0"/>
        <w:snapToGrid/>
        <w:spacing w:line="360" w:lineRule="exact"/>
        <w:ind w:firstLine="420" w:firstLineChars="200"/>
        <w:textAlignment w:val="auto"/>
        <w:rPr>
          <w:b/>
          <w:bCs/>
          <w:szCs w:val="21"/>
        </w:rPr>
      </w:pPr>
      <w:r>
        <w:rPr>
          <w:rFonts w:hint="eastAsia"/>
          <w:szCs w:val="21"/>
        </w:rPr>
        <w:t>（3）双师指导：由基地专业人员与校内教师共同指导，实现理论与实践的无缝对接。</w:t>
      </w:r>
    </w:p>
    <w:p w14:paraId="1C5578A9">
      <w:pPr>
        <w:pStyle w:val="2"/>
        <w:pageBreakBefore w:val="0"/>
        <w:kinsoku/>
        <w:wordWrap/>
        <w:overflowPunct/>
        <w:topLinePunct w:val="0"/>
        <w:bidi w:val="0"/>
        <w:adjustRightInd w:val="0"/>
        <w:snapToGrid/>
        <w:spacing w:after="0" w:line="360" w:lineRule="exact"/>
        <w:jc w:val="center"/>
        <w:textAlignment w:val="auto"/>
        <w:rPr>
          <w:rFonts w:ascii="方正仿宋_GB2312" w:hAnsi="方正仿宋_GB2312" w:eastAsia="方正仿宋_GB2312" w:cs="方正仿宋_GB2312"/>
          <w:color w:val="006FC0"/>
          <w:spacing w:val="-10"/>
          <w:szCs w:val="21"/>
        </w:rPr>
      </w:pPr>
      <w:r>
        <w:rPr>
          <w:rFonts w:hint="eastAsia"/>
          <w:b/>
          <w:bCs/>
          <w:szCs w:val="21"/>
        </w:rPr>
        <w:t>校外实训基地概况</w:t>
      </w:r>
    </w:p>
    <w:tbl>
      <w:tblPr>
        <w:tblStyle w:val="15"/>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392"/>
        <w:gridCol w:w="2147"/>
        <w:gridCol w:w="2145"/>
        <w:gridCol w:w="1587"/>
      </w:tblGrid>
      <w:tr w14:paraId="354E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32" w:type="pct"/>
            <w:vAlign w:val="center"/>
          </w:tcPr>
          <w:p w14:paraId="36F45911">
            <w:pPr>
              <w:pageBreakBefore w:val="0"/>
              <w:kinsoku/>
              <w:wordWrap/>
              <w:overflowPunct/>
              <w:topLinePunct w:val="0"/>
              <w:bidi w:val="0"/>
              <w:adjustRightInd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序号</w:t>
            </w:r>
          </w:p>
        </w:tc>
        <w:tc>
          <w:tcPr>
            <w:tcW w:w="1320" w:type="pct"/>
            <w:vAlign w:val="center"/>
          </w:tcPr>
          <w:p w14:paraId="02D0E1AE">
            <w:pPr>
              <w:pageBreakBefore w:val="0"/>
              <w:kinsoku/>
              <w:wordWrap/>
              <w:overflowPunct/>
              <w:topLinePunct w:val="0"/>
              <w:bidi w:val="0"/>
              <w:adjustRightInd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校外实训基地名称</w:t>
            </w:r>
          </w:p>
        </w:tc>
        <w:tc>
          <w:tcPr>
            <w:tcW w:w="1185" w:type="pct"/>
            <w:vAlign w:val="center"/>
          </w:tcPr>
          <w:p w14:paraId="608F109F">
            <w:pPr>
              <w:pageBreakBefore w:val="0"/>
              <w:kinsoku/>
              <w:wordWrap/>
              <w:overflowPunct/>
              <w:topLinePunct w:val="0"/>
              <w:bidi w:val="0"/>
              <w:adjustRightInd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合作企业名称</w:t>
            </w:r>
          </w:p>
        </w:tc>
        <w:tc>
          <w:tcPr>
            <w:tcW w:w="1184" w:type="pct"/>
            <w:vAlign w:val="center"/>
          </w:tcPr>
          <w:p w14:paraId="5E87695E">
            <w:pPr>
              <w:pageBreakBefore w:val="0"/>
              <w:kinsoku/>
              <w:wordWrap/>
              <w:overflowPunct/>
              <w:topLinePunct w:val="0"/>
              <w:bidi w:val="0"/>
              <w:adjustRightInd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合作项目</w:t>
            </w:r>
          </w:p>
        </w:tc>
        <w:tc>
          <w:tcPr>
            <w:tcW w:w="876" w:type="pct"/>
            <w:vAlign w:val="center"/>
          </w:tcPr>
          <w:p w14:paraId="031FA23B">
            <w:pPr>
              <w:pageBreakBefore w:val="0"/>
              <w:kinsoku/>
              <w:wordWrap/>
              <w:overflowPunct/>
              <w:topLinePunct w:val="0"/>
              <w:bidi w:val="0"/>
              <w:adjustRightInd w:val="0"/>
              <w:snapToGrid/>
              <w:spacing w:line="360" w:lineRule="exact"/>
              <w:jc w:val="center"/>
              <w:textAlignment w:val="auto"/>
              <w:rPr>
                <w:rFonts w:ascii="宋体" w:hAnsi="宋体" w:cs="宋体"/>
                <w:b/>
                <w:bCs/>
                <w:sz w:val="18"/>
                <w:szCs w:val="18"/>
              </w:rPr>
            </w:pPr>
            <w:r>
              <w:rPr>
                <w:rFonts w:hint="eastAsia" w:ascii="宋体" w:hAnsi="宋体" w:cs="宋体"/>
                <w:b/>
                <w:bCs/>
                <w:sz w:val="18"/>
                <w:szCs w:val="18"/>
              </w:rPr>
              <w:t>合作深度</w:t>
            </w:r>
          </w:p>
        </w:tc>
      </w:tr>
      <w:tr w14:paraId="71C5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04DEF5C0">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bCs/>
                <w:kern w:val="0"/>
                <w:sz w:val="18"/>
                <w:szCs w:val="18"/>
              </w:rPr>
              <w:t>1</w:t>
            </w:r>
          </w:p>
        </w:tc>
        <w:tc>
          <w:tcPr>
            <w:tcW w:w="1320" w:type="pct"/>
            <w:vAlign w:val="center"/>
          </w:tcPr>
          <w:p w14:paraId="1397BCB0">
            <w:pPr>
              <w:pStyle w:val="6"/>
              <w:pageBreakBefore w:val="0"/>
              <w:kinsoku/>
              <w:wordWrap/>
              <w:overflowPunct/>
              <w:topLinePunct w:val="0"/>
              <w:bidi w:val="0"/>
              <w:snapToGrid/>
              <w:spacing w:line="360" w:lineRule="exact"/>
              <w:jc w:val="center"/>
              <w:textAlignment w:val="auto"/>
              <w:outlineLvl w:val="3"/>
              <w:rPr>
                <w:rFonts w:ascii="宋体" w:hAnsi="宋体" w:cs="宋体"/>
                <w:b w:val="0"/>
                <w:sz w:val="18"/>
                <w:szCs w:val="18"/>
              </w:rPr>
            </w:pPr>
            <w:r>
              <w:rPr>
                <w:rFonts w:hint="eastAsia" w:ascii="Times New Roman" w:hAnsi="Times New Roman"/>
                <w:b w:val="0"/>
                <w:bCs/>
                <w:color w:val="auto"/>
                <w:kern w:val="0"/>
                <w:sz w:val="18"/>
                <w:szCs w:val="18"/>
              </w:rPr>
              <w:t>安泰养老院</w:t>
            </w:r>
          </w:p>
        </w:tc>
        <w:tc>
          <w:tcPr>
            <w:tcW w:w="1185" w:type="pct"/>
            <w:vAlign w:val="center"/>
          </w:tcPr>
          <w:p w14:paraId="78FA47A5">
            <w:pPr>
              <w:pStyle w:val="6"/>
              <w:pageBreakBefore w:val="0"/>
              <w:kinsoku/>
              <w:wordWrap/>
              <w:overflowPunct/>
              <w:topLinePunct w:val="0"/>
              <w:bidi w:val="0"/>
              <w:snapToGrid/>
              <w:spacing w:line="360" w:lineRule="exact"/>
              <w:jc w:val="center"/>
              <w:textAlignment w:val="auto"/>
              <w:outlineLvl w:val="3"/>
              <w:rPr>
                <w:rFonts w:ascii="宋体" w:hAnsi="宋体" w:cs="宋体"/>
                <w:b w:val="0"/>
                <w:sz w:val="18"/>
                <w:szCs w:val="18"/>
              </w:rPr>
            </w:pPr>
            <w:r>
              <w:rPr>
                <w:rFonts w:hint="eastAsia" w:ascii="Times New Roman" w:hAnsi="Times New Roman"/>
                <w:b w:val="0"/>
                <w:bCs/>
                <w:color w:val="auto"/>
                <w:kern w:val="0"/>
                <w:sz w:val="18"/>
                <w:szCs w:val="18"/>
              </w:rPr>
              <w:t>河南安泰养老有限公司</w:t>
            </w:r>
          </w:p>
        </w:tc>
        <w:tc>
          <w:tcPr>
            <w:tcW w:w="1184" w:type="pct"/>
            <w:vAlign w:val="center"/>
          </w:tcPr>
          <w:p w14:paraId="244D7B39">
            <w:pPr>
              <w:pStyle w:val="6"/>
              <w:pageBreakBefore w:val="0"/>
              <w:kinsoku/>
              <w:wordWrap/>
              <w:overflowPunct/>
              <w:topLinePunct w:val="0"/>
              <w:bidi w:val="0"/>
              <w:snapToGrid/>
              <w:spacing w:line="360" w:lineRule="exact"/>
              <w:jc w:val="center"/>
              <w:textAlignment w:val="auto"/>
              <w:outlineLvl w:val="3"/>
              <w:rPr>
                <w:rFonts w:ascii="宋体" w:hAnsi="宋体" w:cs="宋体"/>
                <w:b w:val="0"/>
                <w:sz w:val="18"/>
                <w:szCs w:val="18"/>
              </w:rPr>
            </w:pPr>
            <w:r>
              <w:rPr>
                <w:rFonts w:hint="eastAsia" w:ascii="Times New Roman" w:hAnsi="Times New Roman"/>
                <w:b w:val="0"/>
                <w:bCs/>
                <w:color w:val="auto"/>
                <w:kern w:val="0"/>
                <w:sz w:val="18"/>
                <w:szCs w:val="18"/>
              </w:rPr>
              <w:t>学生岗位实习</w:t>
            </w:r>
          </w:p>
        </w:tc>
        <w:tc>
          <w:tcPr>
            <w:tcW w:w="876" w:type="pct"/>
            <w:vAlign w:val="center"/>
          </w:tcPr>
          <w:p w14:paraId="33EC97C7">
            <w:pPr>
              <w:pStyle w:val="6"/>
              <w:pageBreakBefore w:val="0"/>
              <w:kinsoku/>
              <w:wordWrap/>
              <w:overflowPunct/>
              <w:topLinePunct w:val="0"/>
              <w:bidi w:val="0"/>
              <w:snapToGrid/>
              <w:spacing w:line="360" w:lineRule="exact"/>
              <w:jc w:val="center"/>
              <w:textAlignment w:val="auto"/>
              <w:outlineLvl w:val="3"/>
              <w:rPr>
                <w:rFonts w:ascii="宋体" w:hAnsi="宋体" w:cs="宋体"/>
                <w:b w:val="0"/>
                <w:sz w:val="18"/>
                <w:szCs w:val="18"/>
              </w:rPr>
            </w:pPr>
            <w:r>
              <w:rPr>
                <w:rFonts w:hint="eastAsia" w:ascii="Times New Roman" w:hAnsi="Times New Roman"/>
                <w:b w:val="0"/>
                <w:bCs/>
                <w:color w:val="auto"/>
                <w:kern w:val="0"/>
                <w:sz w:val="18"/>
                <w:szCs w:val="18"/>
              </w:rPr>
              <w:t>合作良好</w:t>
            </w:r>
          </w:p>
        </w:tc>
      </w:tr>
      <w:tr w14:paraId="2D09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32" w:type="pct"/>
            <w:vAlign w:val="center"/>
          </w:tcPr>
          <w:p w14:paraId="1152398D">
            <w:pPr>
              <w:pageBreakBefore w:val="0"/>
              <w:kinsoku/>
              <w:wordWrap/>
              <w:overflowPunct/>
              <w:topLinePunct w:val="0"/>
              <w:bidi w:val="0"/>
              <w:snapToGrid/>
              <w:spacing w:line="360" w:lineRule="exact"/>
              <w:jc w:val="center"/>
              <w:textAlignment w:val="auto"/>
              <w:rPr>
                <w:bCs/>
                <w:kern w:val="0"/>
                <w:sz w:val="18"/>
                <w:szCs w:val="18"/>
              </w:rPr>
            </w:pPr>
            <w:r>
              <w:rPr>
                <w:rFonts w:hint="eastAsia"/>
                <w:bCs/>
                <w:kern w:val="0"/>
                <w:sz w:val="18"/>
                <w:szCs w:val="18"/>
              </w:rPr>
              <w:t>2</w:t>
            </w:r>
          </w:p>
        </w:tc>
        <w:tc>
          <w:tcPr>
            <w:tcW w:w="1320" w:type="pct"/>
            <w:vAlign w:val="center"/>
          </w:tcPr>
          <w:p w14:paraId="046D51B0">
            <w:pPr>
              <w:pageBreakBefore w:val="0"/>
              <w:kinsoku/>
              <w:wordWrap/>
              <w:overflowPunct/>
              <w:topLinePunct w:val="0"/>
              <w:bidi w:val="0"/>
              <w:snapToGrid/>
              <w:spacing w:line="360" w:lineRule="exact"/>
              <w:jc w:val="center"/>
              <w:textAlignment w:val="auto"/>
              <w:rPr>
                <w:bCs/>
                <w:kern w:val="0"/>
                <w:sz w:val="18"/>
                <w:szCs w:val="18"/>
              </w:rPr>
            </w:pPr>
            <w:r>
              <w:rPr>
                <w:rFonts w:hint="eastAsia"/>
                <w:bCs/>
                <w:kern w:val="0"/>
                <w:sz w:val="18"/>
                <w:szCs w:val="18"/>
              </w:rPr>
              <w:t>鄢陵县医院</w:t>
            </w:r>
          </w:p>
        </w:tc>
        <w:tc>
          <w:tcPr>
            <w:tcW w:w="1185" w:type="pct"/>
            <w:vAlign w:val="center"/>
          </w:tcPr>
          <w:p w14:paraId="2E2ED5B3">
            <w:pPr>
              <w:pageBreakBefore w:val="0"/>
              <w:kinsoku/>
              <w:wordWrap/>
              <w:overflowPunct/>
              <w:topLinePunct w:val="0"/>
              <w:bidi w:val="0"/>
              <w:snapToGrid/>
              <w:spacing w:line="360" w:lineRule="exact"/>
              <w:jc w:val="center"/>
              <w:textAlignment w:val="auto"/>
              <w:rPr>
                <w:bCs/>
                <w:kern w:val="0"/>
                <w:sz w:val="18"/>
                <w:szCs w:val="18"/>
              </w:rPr>
            </w:pPr>
            <w:r>
              <w:rPr>
                <w:rFonts w:hint="eastAsia"/>
                <w:bCs/>
                <w:kern w:val="0"/>
                <w:sz w:val="18"/>
                <w:szCs w:val="18"/>
              </w:rPr>
              <w:t>怡康苑康养基地</w:t>
            </w:r>
          </w:p>
        </w:tc>
        <w:tc>
          <w:tcPr>
            <w:tcW w:w="1184" w:type="pct"/>
            <w:vAlign w:val="center"/>
          </w:tcPr>
          <w:p w14:paraId="34099787">
            <w:pPr>
              <w:pageBreakBefore w:val="0"/>
              <w:kinsoku/>
              <w:wordWrap/>
              <w:overflowPunct/>
              <w:topLinePunct w:val="0"/>
              <w:bidi w:val="0"/>
              <w:snapToGrid/>
              <w:spacing w:line="360" w:lineRule="exact"/>
              <w:jc w:val="center"/>
              <w:textAlignment w:val="auto"/>
              <w:rPr>
                <w:bCs/>
                <w:kern w:val="0"/>
                <w:sz w:val="18"/>
                <w:szCs w:val="18"/>
              </w:rPr>
            </w:pPr>
            <w:r>
              <w:rPr>
                <w:rFonts w:hint="eastAsia"/>
                <w:bCs/>
                <w:kern w:val="0"/>
                <w:sz w:val="18"/>
                <w:szCs w:val="18"/>
              </w:rPr>
              <w:t>学生岗位实习</w:t>
            </w:r>
          </w:p>
        </w:tc>
        <w:tc>
          <w:tcPr>
            <w:tcW w:w="876" w:type="pct"/>
            <w:vAlign w:val="center"/>
          </w:tcPr>
          <w:p w14:paraId="2E3158E5">
            <w:pPr>
              <w:pageBreakBefore w:val="0"/>
              <w:kinsoku/>
              <w:wordWrap/>
              <w:overflowPunct/>
              <w:topLinePunct w:val="0"/>
              <w:bidi w:val="0"/>
              <w:snapToGrid/>
              <w:spacing w:line="360" w:lineRule="exact"/>
              <w:jc w:val="center"/>
              <w:textAlignment w:val="auto"/>
              <w:rPr>
                <w:bCs/>
                <w:kern w:val="0"/>
                <w:sz w:val="18"/>
                <w:szCs w:val="18"/>
              </w:rPr>
            </w:pPr>
            <w:r>
              <w:rPr>
                <w:rFonts w:hint="eastAsia"/>
                <w:bCs/>
                <w:kern w:val="0"/>
                <w:sz w:val="18"/>
                <w:szCs w:val="18"/>
              </w:rPr>
              <w:t>合作良好</w:t>
            </w:r>
          </w:p>
        </w:tc>
      </w:tr>
      <w:tr w14:paraId="3EEB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32" w:type="pct"/>
            <w:vAlign w:val="center"/>
          </w:tcPr>
          <w:p w14:paraId="57A49C04">
            <w:pPr>
              <w:pageBreakBefore w:val="0"/>
              <w:kinsoku/>
              <w:wordWrap/>
              <w:overflowPunct/>
              <w:topLinePunct w:val="0"/>
              <w:bidi w:val="0"/>
              <w:snapToGrid/>
              <w:spacing w:line="360" w:lineRule="exact"/>
              <w:jc w:val="center"/>
              <w:textAlignment w:val="auto"/>
              <w:rPr>
                <w:bCs/>
                <w:kern w:val="0"/>
                <w:sz w:val="18"/>
                <w:szCs w:val="18"/>
              </w:rPr>
            </w:pPr>
            <w:r>
              <w:rPr>
                <w:rFonts w:hint="eastAsia"/>
                <w:bCs/>
                <w:kern w:val="0"/>
                <w:sz w:val="18"/>
                <w:szCs w:val="18"/>
              </w:rPr>
              <w:t>3</w:t>
            </w:r>
          </w:p>
        </w:tc>
        <w:tc>
          <w:tcPr>
            <w:tcW w:w="1320" w:type="pct"/>
            <w:vAlign w:val="center"/>
          </w:tcPr>
          <w:p w14:paraId="4C31B39E">
            <w:pPr>
              <w:pageBreakBefore w:val="0"/>
              <w:kinsoku/>
              <w:wordWrap/>
              <w:overflowPunct/>
              <w:topLinePunct w:val="0"/>
              <w:bidi w:val="0"/>
              <w:snapToGrid/>
              <w:spacing w:line="360" w:lineRule="exact"/>
              <w:jc w:val="center"/>
              <w:textAlignment w:val="auto"/>
              <w:rPr>
                <w:bCs/>
                <w:kern w:val="0"/>
                <w:sz w:val="18"/>
                <w:szCs w:val="18"/>
              </w:rPr>
            </w:pPr>
            <w:r>
              <w:rPr>
                <w:rFonts w:hint="eastAsia"/>
                <w:bCs/>
                <w:kern w:val="0"/>
                <w:sz w:val="18"/>
                <w:szCs w:val="18"/>
              </w:rPr>
              <w:t>智慧康养实训基地</w:t>
            </w:r>
          </w:p>
        </w:tc>
        <w:tc>
          <w:tcPr>
            <w:tcW w:w="1185" w:type="pct"/>
            <w:vAlign w:val="center"/>
          </w:tcPr>
          <w:p w14:paraId="67D66A45">
            <w:pPr>
              <w:pageBreakBefore w:val="0"/>
              <w:kinsoku/>
              <w:wordWrap/>
              <w:overflowPunct/>
              <w:topLinePunct w:val="0"/>
              <w:bidi w:val="0"/>
              <w:snapToGrid/>
              <w:spacing w:line="360" w:lineRule="exact"/>
              <w:jc w:val="center"/>
              <w:textAlignment w:val="auto"/>
              <w:rPr>
                <w:bCs/>
                <w:kern w:val="0"/>
                <w:sz w:val="18"/>
                <w:szCs w:val="18"/>
              </w:rPr>
            </w:pPr>
            <w:r>
              <w:rPr>
                <w:rFonts w:hint="eastAsia"/>
                <w:bCs/>
                <w:kern w:val="0"/>
                <w:sz w:val="18"/>
                <w:szCs w:val="18"/>
              </w:rPr>
              <w:t>许昌市中医院</w:t>
            </w:r>
          </w:p>
        </w:tc>
        <w:tc>
          <w:tcPr>
            <w:tcW w:w="1184" w:type="pct"/>
            <w:vAlign w:val="center"/>
          </w:tcPr>
          <w:p w14:paraId="7F09BFA8">
            <w:pPr>
              <w:pageBreakBefore w:val="0"/>
              <w:kinsoku/>
              <w:wordWrap/>
              <w:overflowPunct/>
              <w:topLinePunct w:val="0"/>
              <w:bidi w:val="0"/>
              <w:snapToGrid/>
              <w:spacing w:line="360" w:lineRule="exact"/>
              <w:jc w:val="center"/>
              <w:textAlignment w:val="auto"/>
              <w:rPr>
                <w:bCs/>
                <w:kern w:val="0"/>
                <w:sz w:val="18"/>
                <w:szCs w:val="18"/>
              </w:rPr>
            </w:pPr>
            <w:r>
              <w:rPr>
                <w:rFonts w:hint="eastAsia"/>
                <w:bCs/>
                <w:kern w:val="0"/>
                <w:sz w:val="18"/>
                <w:szCs w:val="18"/>
              </w:rPr>
              <w:t>中医养生保健</w:t>
            </w:r>
          </w:p>
        </w:tc>
        <w:tc>
          <w:tcPr>
            <w:tcW w:w="876" w:type="pct"/>
            <w:vAlign w:val="center"/>
          </w:tcPr>
          <w:p w14:paraId="620FD56B">
            <w:pPr>
              <w:pageBreakBefore w:val="0"/>
              <w:kinsoku/>
              <w:wordWrap/>
              <w:overflowPunct/>
              <w:topLinePunct w:val="0"/>
              <w:bidi w:val="0"/>
              <w:snapToGrid/>
              <w:spacing w:line="360" w:lineRule="exact"/>
              <w:jc w:val="center"/>
              <w:textAlignment w:val="auto"/>
              <w:rPr>
                <w:bCs/>
                <w:kern w:val="0"/>
                <w:sz w:val="18"/>
                <w:szCs w:val="18"/>
              </w:rPr>
            </w:pPr>
            <w:r>
              <w:rPr>
                <w:rFonts w:hint="eastAsia"/>
                <w:bCs/>
                <w:kern w:val="0"/>
                <w:sz w:val="18"/>
                <w:szCs w:val="18"/>
              </w:rPr>
              <w:t>合作良好</w:t>
            </w:r>
          </w:p>
        </w:tc>
      </w:tr>
      <w:tr w14:paraId="1A43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32" w:type="pct"/>
            <w:vAlign w:val="center"/>
          </w:tcPr>
          <w:p w14:paraId="1B271243">
            <w:pPr>
              <w:pageBreakBefore w:val="0"/>
              <w:kinsoku/>
              <w:wordWrap/>
              <w:overflowPunct/>
              <w:topLinePunct w:val="0"/>
              <w:bidi w:val="0"/>
              <w:snapToGrid/>
              <w:spacing w:line="360" w:lineRule="exact"/>
              <w:jc w:val="center"/>
              <w:textAlignment w:val="auto"/>
              <w:rPr>
                <w:bCs/>
                <w:kern w:val="0"/>
                <w:sz w:val="18"/>
                <w:szCs w:val="18"/>
              </w:rPr>
            </w:pPr>
            <w:r>
              <w:rPr>
                <w:rFonts w:hint="eastAsia"/>
                <w:bCs/>
                <w:kern w:val="0"/>
                <w:sz w:val="18"/>
                <w:szCs w:val="18"/>
              </w:rPr>
              <w:t>4</w:t>
            </w:r>
          </w:p>
        </w:tc>
        <w:tc>
          <w:tcPr>
            <w:tcW w:w="1320" w:type="pct"/>
            <w:vAlign w:val="center"/>
          </w:tcPr>
          <w:p w14:paraId="58E51BCB">
            <w:pPr>
              <w:pageBreakBefore w:val="0"/>
              <w:kinsoku/>
              <w:wordWrap/>
              <w:overflowPunct/>
              <w:topLinePunct w:val="0"/>
              <w:bidi w:val="0"/>
              <w:snapToGrid/>
              <w:spacing w:line="360" w:lineRule="exact"/>
              <w:jc w:val="center"/>
              <w:textAlignment w:val="auto"/>
              <w:rPr>
                <w:bCs/>
                <w:kern w:val="0"/>
                <w:sz w:val="18"/>
                <w:szCs w:val="18"/>
              </w:rPr>
            </w:pPr>
            <w:r>
              <w:rPr>
                <w:rFonts w:hint="eastAsia"/>
                <w:bCs/>
                <w:kern w:val="0"/>
                <w:sz w:val="18"/>
                <w:szCs w:val="18"/>
              </w:rPr>
              <w:t>智慧康养实训基地</w:t>
            </w:r>
          </w:p>
        </w:tc>
        <w:tc>
          <w:tcPr>
            <w:tcW w:w="1185" w:type="pct"/>
            <w:vAlign w:val="center"/>
          </w:tcPr>
          <w:p w14:paraId="54248E1A">
            <w:pPr>
              <w:pageBreakBefore w:val="0"/>
              <w:kinsoku/>
              <w:wordWrap/>
              <w:overflowPunct/>
              <w:topLinePunct w:val="0"/>
              <w:bidi w:val="0"/>
              <w:snapToGrid/>
              <w:spacing w:line="360" w:lineRule="exact"/>
              <w:jc w:val="center"/>
              <w:textAlignment w:val="auto"/>
              <w:rPr>
                <w:bCs/>
                <w:kern w:val="0"/>
                <w:sz w:val="18"/>
                <w:szCs w:val="18"/>
              </w:rPr>
            </w:pPr>
            <w:r>
              <w:rPr>
                <w:rFonts w:hint="eastAsia"/>
                <w:bCs/>
                <w:kern w:val="0"/>
                <w:sz w:val="18"/>
                <w:szCs w:val="18"/>
              </w:rPr>
              <w:t>北海医院</w:t>
            </w:r>
          </w:p>
        </w:tc>
        <w:tc>
          <w:tcPr>
            <w:tcW w:w="1184" w:type="pct"/>
            <w:vAlign w:val="center"/>
          </w:tcPr>
          <w:p w14:paraId="6D292CDE">
            <w:pPr>
              <w:pageBreakBefore w:val="0"/>
              <w:kinsoku/>
              <w:wordWrap/>
              <w:overflowPunct/>
              <w:topLinePunct w:val="0"/>
              <w:bidi w:val="0"/>
              <w:snapToGrid/>
              <w:spacing w:line="360" w:lineRule="exact"/>
              <w:jc w:val="center"/>
              <w:textAlignment w:val="auto"/>
              <w:rPr>
                <w:bCs/>
                <w:kern w:val="0"/>
                <w:sz w:val="18"/>
                <w:szCs w:val="18"/>
              </w:rPr>
            </w:pPr>
            <w:r>
              <w:rPr>
                <w:rFonts w:hint="eastAsia"/>
                <w:bCs/>
                <w:kern w:val="0"/>
                <w:sz w:val="18"/>
                <w:szCs w:val="18"/>
              </w:rPr>
              <w:t>学生岗位实习</w:t>
            </w:r>
          </w:p>
        </w:tc>
        <w:tc>
          <w:tcPr>
            <w:tcW w:w="876" w:type="pct"/>
            <w:vAlign w:val="center"/>
          </w:tcPr>
          <w:p w14:paraId="2CCE380A">
            <w:pPr>
              <w:pageBreakBefore w:val="0"/>
              <w:kinsoku/>
              <w:wordWrap/>
              <w:overflowPunct/>
              <w:topLinePunct w:val="0"/>
              <w:bidi w:val="0"/>
              <w:snapToGrid/>
              <w:spacing w:line="360" w:lineRule="exact"/>
              <w:jc w:val="center"/>
              <w:textAlignment w:val="auto"/>
              <w:rPr>
                <w:bCs/>
                <w:kern w:val="0"/>
                <w:sz w:val="18"/>
                <w:szCs w:val="18"/>
              </w:rPr>
            </w:pPr>
            <w:r>
              <w:rPr>
                <w:rFonts w:hint="eastAsia"/>
                <w:bCs/>
                <w:kern w:val="0"/>
                <w:sz w:val="18"/>
                <w:szCs w:val="18"/>
              </w:rPr>
              <w:t>合作良好</w:t>
            </w:r>
          </w:p>
        </w:tc>
      </w:tr>
    </w:tbl>
    <w:p w14:paraId="1C1C5C14">
      <w:pPr>
        <w:pageBreakBefore w:val="0"/>
        <w:kinsoku/>
        <w:wordWrap/>
        <w:overflowPunct/>
        <w:topLinePunct w:val="0"/>
        <w:bidi w:val="0"/>
        <w:adjustRightInd w:val="0"/>
        <w:snapToGrid/>
        <w:spacing w:line="360" w:lineRule="exact"/>
        <w:textAlignment w:val="auto"/>
        <w:rPr>
          <w:color w:val="548DD4"/>
          <w:szCs w:val="21"/>
        </w:rPr>
      </w:pPr>
    </w:p>
    <w:p w14:paraId="368BA4C2">
      <w:pPr>
        <w:pageBreakBefore w:val="0"/>
        <w:kinsoku/>
        <w:wordWrap/>
        <w:overflowPunct/>
        <w:topLinePunct w:val="0"/>
        <w:bidi w:val="0"/>
        <w:adjustRightInd w:val="0"/>
        <w:snapToGrid/>
        <w:spacing w:line="360" w:lineRule="exact"/>
        <w:ind w:firstLine="422" w:firstLineChars="200"/>
        <w:textAlignment w:val="auto"/>
        <w:rPr>
          <w:rFonts w:ascii="宋体" w:hAnsi="宋体" w:cs="宋体"/>
          <w:b/>
          <w:bCs/>
          <w:szCs w:val="21"/>
        </w:rPr>
      </w:pPr>
      <w:r>
        <w:rPr>
          <w:rFonts w:hint="eastAsia" w:ascii="宋体" w:hAnsi="宋体" w:cs="宋体"/>
          <w:b/>
          <w:bCs/>
          <w:szCs w:val="21"/>
        </w:rPr>
        <w:t>4.学生实习基地基本要求</w:t>
      </w:r>
    </w:p>
    <w:p w14:paraId="2F4F05BB">
      <w:pPr>
        <w:pageBreakBefore w:val="0"/>
        <w:kinsoku/>
        <w:wordWrap/>
        <w:overflowPunct/>
        <w:topLinePunct w:val="0"/>
        <w:bidi w:val="0"/>
        <w:snapToGrid/>
        <w:spacing w:line="360" w:lineRule="exact"/>
        <w:ind w:firstLine="420" w:firstLineChars="200"/>
        <w:textAlignment w:val="auto"/>
      </w:pPr>
      <w:bookmarkStart w:id="32" w:name="_Toc25415"/>
      <w:bookmarkStart w:id="33" w:name="_Toc22349"/>
      <w:r>
        <w:rPr>
          <w:rFonts w:hint="eastAsia"/>
        </w:rPr>
        <w:t>（1）广泛覆盖：选择涵盖综合医院、康养机构、养老机构等多种类型的实习基地，满足不同方向学生的实习需求。</w:t>
      </w:r>
    </w:p>
    <w:p w14:paraId="32759068">
      <w:pPr>
        <w:pageBreakBefore w:val="0"/>
        <w:kinsoku/>
        <w:wordWrap/>
        <w:overflowPunct/>
        <w:topLinePunct w:val="0"/>
        <w:bidi w:val="0"/>
        <w:snapToGrid/>
        <w:spacing w:line="360" w:lineRule="exact"/>
        <w:ind w:firstLine="420" w:firstLineChars="200"/>
        <w:textAlignment w:val="auto"/>
      </w:pPr>
      <w:r>
        <w:rPr>
          <w:rFonts w:hint="eastAsia"/>
        </w:rPr>
        <w:t>（2）实习管理：建立严格的实习管理制度，包括实习前的培训、实习期间的监督指导、实习结束的考核评价等。</w:t>
      </w:r>
    </w:p>
    <w:p w14:paraId="7E8B5A31">
      <w:pPr>
        <w:pageBreakBefore w:val="0"/>
        <w:kinsoku/>
        <w:wordWrap/>
        <w:overflowPunct/>
        <w:topLinePunct w:val="0"/>
        <w:bidi w:val="0"/>
        <w:snapToGrid/>
        <w:spacing w:line="360" w:lineRule="exact"/>
        <w:ind w:firstLine="420" w:firstLineChars="200"/>
        <w:textAlignment w:val="auto"/>
        <w:rPr>
          <w:rFonts w:ascii="宋体" w:hAnsi="宋体" w:cs="宋体"/>
          <w:b/>
          <w:bCs/>
          <w:szCs w:val="21"/>
        </w:rPr>
      </w:pPr>
      <w:r>
        <w:rPr>
          <w:rFonts w:hint="eastAsia"/>
        </w:rPr>
        <w:t>（3）反馈机制：与实习基地建立定期交流反馈机制，及时调整实习内容与方式，提高实习质量。</w:t>
      </w:r>
      <w:r>
        <w:rPr>
          <w:rFonts w:hint="eastAsia" w:ascii="宋体" w:hAnsi="宋体" w:cs="宋体"/>
          <w:b/>
          <w:bCs/>
          <w:szCs w:val="21"/>
        </w:rPr>
        <w:t>（三）教学资源</w:t>
      </w:r>
      <w:bookmarkEnd w:id="32"/>
      <w:bookmarkEnd w:id="33"/>
    </w:p>
    <w:p w14:paraId="2A5DD99B">
      <w:pPr>
        <w:pageBreakBefore w:val="0"/>
        <w:kinsoku/>
        <w:wordWrap/>
        <w:overflowPunct/>
        <w:topLinePunct w:val="0"/>
        <w:bidi w:val="0"/>
        <w:snapToGrid/>
        <w:spacing w:line="360" w:lineRule="exact"/>
        <w:ind w:firstLine="420" w:firstLineChars="200"/>
        <w:textAlignment w:val="auto"/>
      </w:pPr>
      <w:r>
        <w:rPr>
          <w:rFonts w:hint="eastAsia"/>
        </w:rPr>
        <w:t>1. 教材选用基本要求</w:t>
      </w:r>
    </w:p>
    <w:p w14:paraId="1232282E">
      <w:pPr>
        <w:pageBreakBefore w:val="0"/>
        <w:kinsoku/>
        <w:wordWrap/>
        <w:overflowPunct/>
        <w:topLinePunct w:val="0"/>
        <w:bidi w:val="0"/>
        <w:snapToGrid/>
        <w:spacing w:line="360" w:lineRule="exact"/>
        <w:ind w:firstLine="420" w:firstLineChars="200"/>
        <w:textAlignment w:val="auto"/>
        <w:rPr>
          <w:color w:val="548DD4"/>
          <w:szCs w:val="21"/>
        </w:rPr>
      </w:pPr>
      <w:r>
        <w:rPr>
          <w:rFonts w:hint="eastAsia"/>
        </w:rPr>
        <w:t>教材应紧密结合智慧养老服务的特点和需求，注重实际应用和操作技能的培养，关注养老领域的最新研究成果和发展趋势，引入前沿技术和理念，培养学生的创新意识和能力，符合智慧养老的基本理论和临床实践，内容应贴近实际，注重养老照护技能的训练和实践操作，具有较强的实用性，内容还应体现智慧养老的最新进展和成果，注重前沿技术和理念的引入和应用，采用国家卫生部规定教材。</w:t>
      </w:r>
    </w:p>
    <w:p w14:paraId="085027CF">
      <w:pPr>
        <w:pageBreakBefore w:val="0"/>
        <w:kinsoku/>
        <w:wordWrap/>
        <w:overflowPunct/>
        <w:topLinePunct w:val="0"/>
        <w:bidi w:val="0"/>
        <w:adjustRightInd w:val="0"/>
        <w:snapToGrid/>
        <w:spacing w:line="360" w:lineRule="exact"/>
        <w:ind w:firstLine="422" w:firstLineChars="200"/>
        <w:textAlignment w:val="auto"/>
        <w:rPr>
          <w:rFonts w:ascii="宋体" w:hAnsi="宋体" w:cs="宋体"/>
          <w:b/>
          <w:bCs/>
          <w:szCs w:val="21"/>
        </w:rPr>
      </w:pPr>
      <w:r>
        <w:rPr>
          <w:rFonts w:hint="eastAsia" w:ascii="宋体" w:hAnsi="宋体" w:cs="宋体"/>
          <w:b/>
          <w:bCs/>
          <w:szCs w:val="21"/>
        </w:rPr>
        <w:t>2.图书文献配备基本要求</w:t>
      </w:r>
    </w:p>
    <w:p w14:paraId="533CF7B3">
      <w:pPr>
        <w:pageBreakBefore w:val="0"/>
        <w:kinsoku/>
        <w:wordWrap/>
        <w:overflowPunct/>
        <w:topLinePunct w:val="0"/>
        <w:bidi w:val="0"/>
        <w:snapToGrid/>
        <w:spacing w:line="360" w:lineRule="exact"/>
        <w:ind w:firstLine="420" w:firstLineChars="200"/>
        <w:textAlignment w:val="auto"/>
        <w:rPr>
          <w:rFonts w:ascii="宋体" w:hAnsi="宋体" w:cs="宋体"/>
          <w:b/>
          <w:bCs/>
          <w:szCs w:val="21"/>
        </w:rPr>
      </w:pPr>
      <w:r>
        <w:t>图书文献应涵盖社区康复专业的各个方面，形成完整的知识体系</w:t>
      </w:r>
      <w:r>
        <w:rPr>
          <w:rFonts w:hint="eastAsia"/>
        </w:rPr>
        <w:t>，</w:t>
      </w:r>
      <w:r>
        <w:t>优先选择对</w:t>
      </w:r>
      <w:r>
        <w:rPr>
          <w:rFonts w:hint="eastAsia"/>
        </w:rPr>
        <w:t>智慧养老专业学生学习</w:t>
      </w:r>
      <w:r>
        <w:t>有指导意义的图书文献</w:t>
      </w:r>
      <w:r>
        <w:rPr>
          <w:rFonts w:hint="eastAsia"/>
        </w:rPr>
        <w:t>。包括智慧养老专业基础教材、智慧养老专业参考书、期刊杂志和电子资源，另外还要</w:t>
      </w:r>
      <w:r>
        <w:t>定期更新图书文献，确保内容与时俱进。</w:t>
      </w:r>
    </w:p>
    <w:p w14:paraId="0EFB4ECC">
      <w:pPr>
        <w:pageBreakBefore w:val="0"/>
        <w:kinsoku/>
        <w:wordWrap/>
        <w:overflowPunct/>
        <w:topLinePunct w:val="0"/>
        <w:bidi w:val="0"/>
        <w:adjustRightInd w:val="0"/>
        <w:snapToGrid/>
        <w:spacing w:line="360" w:lineRule="exact"/>
        <w:ind w:firstLine="422" w:firstLineChars="200"/>
        <w:textAlignment w:val="auto"/>
        <w:rPr>
          <w:rFonts w:ascii="宋体" w:hAnsi="宋体" w:cs="宋体"/>
          <w:b/>
          <w:bCs/>
          <w:szCs w:val="21"/>
        </w:rPr>
      </w:pPr>
      <w:r>
        <w:rPr>
          <w:rFonts w:hint="eastAsia" w:ascii="宋体" w:hAnsi="宋体" w:cs="宋体"/>
          <w:b/>
          <w:bCs/>
          <w:szCs w:val="21"/>
        </w:rPr>
        <w:t>3.数字教学资源配备基本要求</w:t>
      </w:r>
    </w:p>
    <w:p w14:paraId="402F16AB">
      <w:pPr>
        <w:pageBreakBefore w:val="0"/>
        <w:kinsoku/>
        <w:wordWrap/>
        <w:overflowPunct/>
        <w:topLinePunct w:val="0"/>
        <w:bidi w:val="0"/>
        <w:adjustRightInd w:val="0"/>
        <w:snapToGrid/>
        <w:spacing w:line="360" w:lineRule="exact"/>
        <w:ind w:firstLine="420" w:firstLineChars="200"/>
        <w:textAlignment w:val="auto"/>
        <w:rPr>
          <w:szCs w:val="21"/>
        </w:rPr>
      </w:pPr>
      <w:bookmarkStart w:id="34" w:name="_Toc16895"/>
      <w:r>
        <w:rPr>
          <w:rFonts w:hint="eastAsia"/>
          <w:szCs w:val="21"/>
        </w:rPr>
        <w:t>（1）配备教学平台和工具</w:t>
      </w:r>
    </w:p>
    <w:p w14:paraId="0E579D80">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配备专业的在线教学平台，支持实时互动、在线作业、测试与考试等功能，便于师生进行线上教学与交流。提供多种数字化教学工具，如多媒体教学课件、电子教材、在线视频等，丰富教学资源，提升教学效果。</w:t>
      </w:r>
    </w:p>
    <w:p w14:paraId="6FE44A52">
      <w:pPr>
        <w:pageBreakBefore w:val="0"/>
        <w:numPr>
          <w:ilvl w:val="0"/>
          <w:numId w:val="2"/>
        </w:numPr>
        <w:kinsoku/>
        <w:wordWrap/>
        <w:overflowPunct/>
        <w:topLinePunct w:val="0"/>
        <w:bidi w:val="0"/>
        <w:adjustRightInd w:val="0"/>
        <w:snapToGrid/>
        <w:spacing w:line="360" w:lineRule="exact"/>
        <w:ind w:firstLine="420" w:firstLineChars="200"/>
        <w:textAlignment w:val="auto"/>
        <w:rPr>
          <w:szCs w:val="21"/>
        </w:rPr>
      </w:pPr>
      <w:r>
        <w:rPr>
          <w:rFonts w:hint="eastAsia"/>
          <w:szCs w:val="21"/>
        </w:rPr>
        <w:t>配备课程内容与资源</w:t>
      </w:r>
    </w:p>
    <w:p w14:paraId="1CEE1E6C">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确保课程内容全面覆盖</w:t>
      </w:r>
      <w:r>
        <w:rPr>
          <w:rFonts w:hint="eastAsia"/>
        </w:rPr>
        <w:t>智慧养老</w:t>
      </w:r>
      <w:r>
        <w:rPr>
          <w:rFonts w:hint="eastAsia"/>
          <w:szCs w:val="21"/>
        </w:rPr>
        <w:t>专业的知识点，包含基础理论、实践技能、案例分析等多个方面。配备丰富的数字化教学资源，包括案例分析、实践操作视频、专家讲座等，有助于学生深入理解知识点，提高实践能力。</w:t>
      </w:r>
    </w:p>
    <w:p w14:paraId="4EEE7234">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（3）配备实践教学与模拟系统</w:t>
      </w:r>
    </w:p>
    <w:p w14:paraId="57A46218">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建立</w:t>
      </w:r>
      <w:r>
        <w:rPr>
          <w:rFonts w:hint="eastAsia"/>
        </w:rPr>
        <w:t>智慧养老</w:t>
      </w:r>
      <w:r>
        <w:rPr>
          <w:rFonts w:hint="eastAsia"/>
          <w:szCs w:val="21"/>
        </w:rPr>
        <w:t>专业实践教学数字化平台，提供虚拟仿真实训系统，模拟真实场景，便于学生进行实践操作。提供模拟病例库，让学生在模拟环境中进行案例分析、养老照护方案设计等实践训练，提升解决实际问题的能力。</w:t>
      </w:r>
    </w:p>
    <w:p w14:paraId="0A49D364">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（4）配备互动交流与学习支持</w:t>
      </w:r>
    </w:p>
    <w:p w14:paraId="47A6E5EE">
      <w:pPr>
        <w:pageBreakBefore w:val="0"/>
        <w:kinsoku/>
        <w:wordWrap/>
        <w:overflowPunct/>
        <w:topLinePunct w:val="0"/>
        <w:bidi w:val="0"/>
        <w:adjustRightInd w:val="0"/>
        <w:snapToGrid/>
        <w:spacing w:line="360" w:lineRule="exact"/>
        <w:ind w:firstLine="420" w:firstLineChars="200"/>
        <w:textAlignment w:val="auto"/>
        <w:rPr>
          <w:color w:val="548DD4"/>
          <w:szCs w:val="21"/>
        </w:rPr>
      </w:pPr>
      <w:r>
        <w:rPr>
          <w:rFonts w:hint="eastAsia"/>
          <w:szCs w:val="21"/>
        </w:rPr>
        <w:t>搭建师生交流互动平台，鼓励学生积极参与讨论、分享经验，形成良好的学习氛围。提供学习支持服务，如在线答疑、学习辅导等，帮助学生解决学习中遇到的问题，提高学习效果。</w:t>
      </w:r>
    </w:p>
    <w:p w14:paraId="6CAD5117">
      <w:pPr>
        <w:pageBreakBefore w:val="0"/>
        <w:kinsoku/>
        <w:wordWrap/>
        <w:overflowPunct/>
        <w:topLinePunct w:val="0"/>
        <w:bidi w:val="0"/>
        <w:adjustRightInd w:val="0"/>
        <w:snapToGrid/>
        <w:spacing w:line="360" w:lineRule="exact"/>
        <w:ind w:firstLine="422" w:firstLineChars="200"/>
        <w:textAlignment w:val="auto"/>
        <w:rPr>
          <w:rFonts w:ascii="宋体" w:hAnsi="宋体" w:cs="宋体"/>
          <w:b/>
          <w:bCs/>
          <w:szCs w:val="21"/>
        </w:rPr>
      </w:pPr>
      <w:bookmarkStart w:id="35" w:name="_Toc9874"/>
      <w:r>
        <w:rPr>
          <w:rFonts w:hint="eastAsia" w:ascii="宋体" w:hAnsi="宋体" w:cs="宋体"/>
          <w:b/>
          <w:bCs/>
          <w:szCs w:val="21"/>
        </w:rPr>
        <w:t>（四）教学方法</w:t>
      </w:r>
      <w:bookmarkEnd w:id="34"/>
      <w:bookmarkEnd w:id="35"/>
    </w:p>
    <w:p w14:paraId="37896F8A">
      <w:pPr>
        <w:pageBreakBefore w:val="0"/>
        <w:kinsoku/>
        <w:wordWrap/>
        <w:overflowPunct/>
        <w:topLinePunct w:val="0"/>
        <w:bidi w:val="0"/>
        <w:adjustRightInd w:val="0"/>
        <w:snapToGrid/>
        <w:spacing w:line="360" w:lineRule="exact"/>
        <w:ind w:firstLine="420" w:firstLineChars="200"/>
        <w:textAlignment w:val="auto"/>
        <w:rPr>
          <w:color w:val="548DD4"/>
          <w:szCs w:val="21"/>
          <w:lang w:val="zh-CN"/>
        </w:rPr>
      </w:pPr>
      <w:bookmarkStart w:id="36" w:name="_Toc31917"/>
      <w:r>
        <w:rPr>
          <w:rFonts w:hint="eastAsia"/>
          <w:szCs w:val="21"/>
        </w:rPr>
        <w:t>融“教、学、做”为一体，实施“理实一体化”教学，教学过程以学生为中心，学、做合一，做中学、学中做，使学生牢固掌握专业知识和专业技能，并不断强化学生的职业素质提高。坚持对整个学习过程和工作过程进行引导、启动、监督、帮助、控制和评估。教学过程可分小组进行，“学、做”过程可由学生独立完成，留给学生尝试新的行为方式的实践空间。坚持利用多媒体课件、视频技术、现场教学等手段，采用任务驱动教学法、演示教学法、分组教学法、现场教学法、引导文教学法等现代先进的教学方法。</w:t>
      </w:r>
    </w:p>
    <w:p w14:paraId="1EB030D0">
      <w:pPr>
        <w:pageBreakBefore w:val="0"/>
        <w:kinsoku/>
        <w:wordWrap/>
        <w:overflowPunct/>
        <w:topLinePunct w:val="0"/>
        <w:bidi w:val="0"/>
        <w:adjustRightInd w:val="0"/>
        <w:snapToGrid/>
        <w:spacing w:line="360" w:lineRule="exact"/>
        <w:ind w:firstLine="422" w:firstLineChars="200"/>
        <w:textAlignment w:val="auto"/>
        <w:rPr>
          <w:rFonts w:ascii="宋体" w:hAnsi="宋体" w:cs="宋体"/>
          <w:b/>
          <w:bCs/>
          <w:szCs w:val="21"/>
        </w:rPr>
      </w:pPr>
      <w:bookmarkStart w:id="37" w:name="_Toc114"/>
      <w:r>
        <w:rPr>
          <w:rFonts w:hint="eastAsia" w:ascii="宋体" w:hAnsi="宋体" w:cs="宋体"/>
          <w:b/>
          <w:bCs/>
          <w:szCs w:val="21"/>
        </w:rPr>
        <w:t>（五）学习评价</w:t>
      </w:r>
      <w:bookmarkEnd w:id="36"/>
      <w:bookmarkEnd w:id="37"/>
    </w:p>
    <w:p w14:paraId="50D6509F">
      <w:pPr>
        <w:pageBreakBefore w:val="0"/>
        <w:kinsoku/>
        <w:wordWrap/>
        <w:overflowPunct/>
        <w:topLinePunct w:val="0"/>
        <w:bidi w:val="0"/>
        <w:adjustRightInd w:val="0"/>
        <w:snapToGrid/>
        <w:spacing w:line="360" w:lineRule="exact"/>
        <w:ind w:firstLine="420" w:firstLineChars="200"/>
        <w:textAlignment w:val="auto"/>
        <w:rPr>
          <w:szCs w:val="21"/>
        </w:rPr>
      </w:pPr>
      <w:bookmarkStart w:id="38" w:name="_Toc23478"/>
      <w:bookmarkStart w:id="39" w:name="_Toc5581"/>
      <w:r>
        <w:rPr>
          <w:rFonts w:hint="eastAsia"/>
          <w:szCs w:val="21"/>
        </w:rPr>
        <w:t>1．评价的模式 </w:t>
      </w:r>
    </w:p>
    <w:p w14:paraId="275F8424">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终结性评价与过程性评价相结合；个体评价与小组评价相结合；理论学习评价与实践技能评价相结合，素质评价-知识评价-能力（技能）评价并重。</w:t>
      </w:r>
    </w:p>
    <w:p w14:paraId="46B47B8E">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2．评价的方式 </w:t>
      </w:r>
    </w:p>
    <w:p w14:paraId="17ED410A">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建立多样化的评价方式。书面考试、观察、口试、现场操作、提交案例分析报告、工件制作等，进行整体性、过程性评价。有条件的课程，可吸纳更多行业企业和社会有关方面组织参与考核评价。</w:t>
      </w:r>
    </w:p>
    <w:p w14:paraId="3ADE796E">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成绩评定是对学生完成教学任务的基本考核，必须坚持定性考核与定量考核相结合，以技能考核为主进行全面综合考核。在教学考核中尽量设法突出学生“职业能力”的培养，积极进行以实践能力考核为主的评价方法改革，切实提高学生的实践能力和就业竞争力。</w:t>
      </w:r>
    </w:p>
    <w:p w14:paraId="35E4DF69">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对于理实一体化课程具体建议如下：理论考试占据40%；实操考试45%；学习态度、纪律、出勤、安全文明生产、团体协作，占综合成绩10%；资格认证5%。</w:t>
      </w:r>
    </w:p>
    <w:p w14:paraId="5A9EC1C6">
      <w:pPr>
        <w:pageBreakBefore w:val="0"/>
        <w:kinsoku/>
        <w:wordWrap/>
        <w:overflowPunct/>
        <w:topLinePunct w:val="0"/>
        <w:bidi w:val="0"/>
        <w:adjustRightInd w:val="0"/>
        <w:snapToGrid/>
        <w:spacing w:line="360" w:lineRule="exact"/>
        <w:ind w:firstLine="422" w:firstLineChars="200"/>
        <w:textAlignment w:val="auto"/>
        <w:rPr>
          <w:rFonts w:ascii="宋体" w:hAnsi="宋体" w:cs="宋体"/>
          <w:b/>
          <w:bCs/>
          <w:szCs w:val="21"/>
        </w:rPr>
      </w:pPr>
      <w:r>
        <w:rPr>
          <w:rFonts w:hint="eastAsia" w:ascii="宋体" w:hAnsi="宋体" w:cs="宋体"/>
          <w:b/>
          <w:bCs/>
          <w:szCs w:val="21"/>
        </w:rPr>
        <w:t>（六）质量管理</w:t>
      </w:r>
      <w:bookmarkEnd w:id="38"/>
      <w:bookmarkEnd w:id="39"/>
    </w:p>
    <w:p w14:paraId="78D9526C">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1.教学目标监控</w:t>
      </w:r>
    </w:p>
    <w:p w14:paraId="63964E8B">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（1）人才培养目标定位</w:t>
      </w:r>
    </w:p>
    <w:p w14:paraId="7528F3C5">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本专业系统培养掌握现代康养基本理论、基本技能和相关知识，同时具备养老照护、中医针灸推拿临床基本技能，并有一定发展潜力、创新精神和实践能力的应用型高技能养老人才。</w:t>
      </w:r>
    </w:p>
    <w:p w14:paraId="5FD417AF">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（2）人才培养模式改革</w:t>
      </w:r>
    </w:p>
    <w:p w14:paraId="1F156B20">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以培养适应临床需求的高等技术应用性和实用性人才为根本任务；以临床的实际需求为目标，以技术应用能力的培养为主线设计课程体系、制定培养方案。促进校企合作，实现学校和企业设备、技术优势互补、资源共享，提高育人的针对性和时效性，进而提高学校的办学质量。</w:t>
      </w:r>
    </w:p>
    <w:p w14:paraId="2176363E">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（3）专业建设与发展方向</w:t>
      </w:r>
    </w:p>
    <w:p w14:paraId="3F77D571">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坚持校企合作、工学交替的培养模式。积极推进校企合作，加强实践环节。以企业临床各岗位实际需要的“知识点、能力点”为基础，不断更新教学法内容，优化教案，加强适合本专业特点，示范性较强的专业建设。</w:t>
      </w:r>
    </w:p>
    <w:p w14:paraId="0D578A75">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2.教学过程监控</w:t>
      </w:r>
    </w:p>
    <w:p w14:paraId="735507A5">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（1）课程体系的构建与课程标准的制定</w:t>
      </w:r>
    </w:p>
    <w:p w14:paraId="3FE3289D">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根据人才培养目标和课程设置，对每门课程的目标、内容、难度等方面进行明确规定。学校的整个教学和管理，将服务和服从于市场的就业需求和学生的技能形成，不断深化教学改革，制定教学计划，设置课程。</w:t>
      </w:r>
    </w:p>
    <w:p w14:paraId="1DDFB440">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（2）“双师型”教学团队的配备与建设</w:t>
      </w:r>
    </w:p>
    <w:p w14:paraId="3FE495B6">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学校和二级学院应完善教学管理机制，加强日常教学组织运行与管理，定期开展课程建设水平和教学质量诊断与改进。改善教师的知识结构，提高教师的职称层次、学历层次和实践能力，努力塑造“双师型及专、兼职相结合”的师资队伍。</w:t>
      </w:r>
    </w:p>
    <w:p w14:paraId="36F9BA78">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（3）职业技能训练与考核</w:t>
      </w:r>
    </w:p>
    <w:p w14:paraId="30212F8F">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通过理论与实际相结合的方法进行技能训练。各门课程考核都采取灵活机制，采取实践项目设计、论文发表、竞赛获奖等方式进行考核。</w:t>
      </w:r>
    </w:p>
    <w:p w14:paraId="1EE68827">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（4）一线教学的运行与管理</w:t>
      </w:r>
    </w:p>
    <w:p w14:paraId="54D20723">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建立完善的实践教学体系。在保证理论知识够用的同时，加大实践性教学内容，纵向上形成体系，横向上与理论课程有机结合。</w:t>
      </w:r>
    </w:p>
    <w:p w14:paraId="79F1B07E">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3.教学结果监控</w:t>
      </w:r>
    </w:p>
    <w:p w14:paraId="2FCBF713">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（1）学生毕业率</w:t>
      </w:r>
    </w:p>
    <w:p w14:paraId="4EC6E588">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学生毕业率达到98.5%。</w:t>
      </w:r>
    </w:p>
    <w:p w14:paraId="04E354F3">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（2）职业技能竞赛获奖率</w:t>
      </w:r>
    </w:p>
    <w:p w14:paraId="1B82A3AB">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职业技能竞赛获奖率60%以上。</w:t>
      </w:r>
    </w:p>
    <w:p w14:paraId="199D74E7">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（3）毕业生就业率</w:t>
      </w:r>
    </w:p>
    <w:p w14:paraId="7950E33B">
      <w:pPr>
        <w:pageBreakBefore w:val="0"/>
        <w:kinsoku/>
        <w:wordWrap/>
        <w:overflowPunct/>
        <w:topLinePunct w:val="0"/>
        <w:bidi w:val="0"/>
        <w:adjustRightInd w:val="0"/>
        <w:snapToGrid/>
        <w:spacing w:line="360" w:lineRule="exact"/>
        <w:ind w:firstLine="420" w:firstLineChars="200"/>
        <w:textAlignment w:val="auto"/>
        <w:rPr>
          <w:szCs w:val="21"/>
        </w:rPr>
      </w:pPr>
      <w:r>
        <w:rPr>
          <w:rFonts w:hint="eastAsia"/>
          <w:szCs w:val="21"/>
        </w:rPr>
        <w:t>一次性就业率均达到75％以上，年底就业率均达到97％，专业对口率90%。</w:t>
      </w:r>
    </w:p>
    <w:p w14:paraId="505FC568">
      <w:pPr>
        <w:pStyle w:val="3"/>
        <w:pageBreakBefore w:val="0"/>
        <w:kinsoku/>
        <w:wordWrap/>
        <w:overflowPunct/>
        <w:topLinePunct w:val="0"/>
        <w:bidi w:val="0"/>
        <w:snapToGrid/>
        <w:spacing w:before="0" w:beforeLines="0" w:after="0" w:afterLines="0" w:line="360" w:lineRule="exact"/>
        <w:ind w:firstLine="482"/>
        <w:textAlignment w:val="auto"/>
        <w:rPr>
          <w:rFonts w:hint="default" w:ascii="Times New Roman" w:hAnsi="Times New Roman"/>
          <w:kern w:val="2"/>
          <w:sz w:val="24"/>
          <w:szCs w:val="24"/>
        </w:rPr>
      </w:pPr>
      <w:r>
        <w:rPr>
          <w:rFonts w:ascii="Times New Roman" w:hAnsi="Times New Roman"/>
          <w:kern w:val="2"/>
          <w:sz w:val="24"/>
          <w:szCs w:val="24"/>
        </w:rPr>
        <w:t>九、毕业要求</w:t>
      </w:r>
    </w:p>
    <w:p w14:paraId="0E68BB66">
      <w:pPr>
        <w:pageBreakBefore w:val="0"/>
        <w:kinsoku/>
        <w:wordWrap/>
        <w:overflowPunct/>
        <w:topLinePunct w:val="0"/>
        <w:bidi w:val="0"/>
        <w:adjustRightInd w:val="0"/>
        <w:snapToGrid/>
        <w:spacing w:line="360" w:lineRule="exact"/>
        <w:ind w:firstLine="420" w:firstLineChars="200"/>
        <w:textAlignment w:val="auto"/>
      </w:pPr>
      <w:bookmarkStart w:id="40" w:name="_Toc22818"/>
      <w:bookmarkStart w:id="41" w:name="_Toc7526"/>
      <w:bookmarkStart w:id="42" w:name="_Toc27960"/>
      <w:r>
        <w:rPr>
          <w:rFonts w:hint="eastAsia"/>
        </w:rPr>
        <w:t>毕业要求是学生通过规定年限的学习，须修满的专业人才培养方案所规定的学时学分，完成规定的教学活动，毕业时应达到的素质、知识和能力等方面要求。毕业要求应能支撑培养目标的有效达成。</w:t>
      </w:r>
    </w:p>
    <w:p w14:paraId="1E08488E">
      <w:pPr>
        <w:pageBreakBefore w:val="0"/>
        <w:kinsoku/>
        <w:wordWrap/>
        <w:overflowPunct/>
        <w:topLinePunct w:val="0"/>
        <w:bidi w:val="0"/>
        <w:adjustRightInd w:val="0"/>
        <w:snapToGrid/>
        <w:spacing w:line="360" w:lineRule="exact"/>
        <w:ind w:firstLine="422" w:firstLineChars="200"/>
        <w:textAlignment w:val="auto"/>
        <w:rPr>
          <w:rFonts w:ascii="宋体" w:hAnsi="宋体" w:cs="宋体"/>
          <w:b/>
          <w:bCs/>
          <w:szCs w:val="21"/>
          <w:lang w:val="zh-CN"/>
        </w:rPr>
      </w:pPr>
      <w:bookmarkStart w:id="43" w:name="_Toc16516681"/>
      <w:r>
        <w:rPr>
          <w:rFonts w:hint="eastAsia" w:ascii="宋体" w:hAnsi="宋体" w:cs="宋体"/>
          <w:b/>
          <w:bCs/>
          <w:szCs w:val="21"/>
          <w:lang w:val="zh-CN"/>
        </w:rPr>
        <w:t>(一)毕业学分要求</w:t>
      </w:r>
      <w:bookmarkEnd w:id="43"/>
    </w:p>
    <w:p w14:paraId="27191962">
      <w:pPr>
        <w:pageBreakBefore w:val="0"/>
        <w:kinsoku/>
        <w:wordWrap/>
        <w:overflowPunct/>
        <w:topLinePunct w:val="0"/>
        <w:bidi w:val="0"/>
        <w:adjustRightInd w:val="0"/>
        <w:snapToGrid/>
        <w:spacing w:line="360" w:lineRule="exact"/>
        <w:ind w:firstLine="420" w:firstLineChars="200"/>
        <w:textAlignment w:val="auto"/>
      </w:pPr>
      <w:r>
        <w:rPr>
          <w:rFonts w:hint="eastAsia"/>
        </w:rPr>
        <w:t>1．本专业修够14</w:t>
      </w:r>
      <w:r>
        <w:rPr>
          <w:rFonts w:hint="eastAsia"/>
          <w:lang w:val="en-US" w:eastAsia="zh-CN"/>
        </w:rPr>
        <w:t>4</w:t>
      </w:r>
      <w:r>
        <w:rPr>
          <w:rFonts w:hint="eastAsia"/>
        </w:rPr>
        <w:t>学分方能毕业。</w:t>
      </w:r>
    </w:p>
    <w:p w14:paraId="385767A9">
      <w:pPr>
        <w:pageBreakBefore w:val="0"/>
        <w:kinsoku/>
        <w:wordWrap/>
        <w:overflowPunct/>
        <w:topLinePunct w:val="0"/>
        <w:bidi w:val="0"/>
        <w:adjustRightInd w:val="0"/>
        <w:snapToGrid/>
        <w:spacing w:line="360" w:lineRule="exact"/>
        <w:ind w:firstLine="420" w:firstLineChars="200"/>
        <w:textAlignment w:val="auto"/>
      </w:pPr>
      <w:r>
        <w:rPr>
          <w:rFonts w:hint="eastAsia"/>
        </w:rPr>
        <w:t>2．公共必修课共44学分。</w:t>
      </w:r>
    </w:p>
    <w:p w14:paraId="6360CCE6">
      <w:pPr>
        <w:pageBreakBefore w:val="0"/>
        <w:kinsoku/>
        <w:wordWrap/>
        <w:overflowPunct/>
        <w:topLinePunct w:val="0"/>
        <w:bidi w:val="0"/>
        <w:adjustRightInd w:val="0"/>
        <w:snapToGrid/>
        <w:spacing w:line="360" w:lineRule="exact"/>
        <w:ind w:firstLine="420" w:firstLineChars="200"/>
        <w:textAlignment w:val="auto"/>
      </w:pPr>
      <w:r>
        <w:rPr>
          <w:rFonts w:hint="eastAsia"/>
        </w:rPr>
        <w:t>3．</w:t>
      </w:r>
      <w:r>
        <w:rPr>
          <w:rFonts w:hint="eastAsia"/>
          <w:szCs w:val="21"/>
        </w:rPr>
        <w:t>专业技能课、专业</w:t>
      </w:r>
      <w:r>
        <w:rPr>
          <w:rFonts w:hint="eastAsia"/>
          <w:szCs w:val="21"/>
          <w:lang w:val="en-US" w:eastAsia="zh-CN"/>
        </w:rPr>
        <w:t>拓展</w:t>
      </w:r>
      <w:r>
        <w:rPr>
          <w:rFonts w:hint="eastAsia"/>
          <w:szCs w:val="21"/>
        </w:rPr>
        <w:t>课、专业</w:t>
      </w:r>
      <w:r>
        <w:rPr>
          <w:rFonts w:hint="eastAsia"/>
          <w:szCs w:val="21"/>
          <w:lang w:val="en-US" w:eastAsia="zh-CN"/>
        </w:rPr>
        <w:t>实践</w:t>
      </w:r>
      <w:r>
        <w:rPr>
          <w:rFonts w:hint="eastAsia"/>
          <w:szCs w:val="21"/>
        </w:rPr>
        <w:t>课</w:t>
      </w:r>
      <w:r>
        <w:rPr>
          <w:rFonts w:hint="eastAsia"/>
          <w:szCs w:val="21"/>
          <w:lang w:val="en-US" w:eastAsia="zh-CN"/>
        </w:rPr>
        <w:t>等</w:t>
      </w:r>
      <w:r>
        <w:rPr>
          <w:rFonts w:hint="eastAsia"/>
        </w:rPr>
        <w:t>共9</w:t>
      </w:r>
      <w:r>
        <w:rPr>
          <w:rFonts w:hint="eastAsia"/>
          <w:lang w:val="en-US" w:eastAsia="zh-CN"/>
        </w:rPr>
        <w:t>2</w:t>
      </w:r>
      <w:r>
        <w:rPr>
          <w:rFonts w:hint="eastAsia"/>
        </w:rPr>
        <w:t>学分。</w:t>
      </w:r>
    </w:p>
    <w:p w14:paraId="429C4969">
      <w:pPr>
        <w:pageBreakBefore w:val="0"/>
        <w:kinsoku/>
        <w:wordWrap/>
        <w:overflowPunct/>
        <w:topLinePunct w:val="0"/>
        <w:bidi w:val="0"/>
        <w:adjustRightInd w:val="0"/>
        <w:snapToGrid/>
        <w:spacing w:line="360" w:lineRule="exact"/>
        <w:ind w:firstLine="420" w:firstLineChars="200"/>
        <w:textAlignment w:val="auto"/>
      </w:pPr>
      <w:r>
        <w:rPr>
          <w:rFonts w:hint="eastAsia"/>
        </w:rPr>
        <w:t>4．公共选修课8学分。</w:t>
      </w:r>
    </w:p>
    <w:p w14:paraId="21B1DC93">
      <w:pPr>
        <w:pageBreakBefore w:val="0"/>
        <w:kinsoku/>
        <w:wordWrap/>
        <w:overflowPunct/>
        <w:topLinePunct w:val="0"/>
        <w:bidi w:val="0"/>
        <w:adjustRightInd w:val="0"/>
        <w:snapToGrid/>
        <w:spacing w:line="360" w:lineRule="exact"/>
        <w:ind w:firstLine="422" w:firstLineChars="200"/>
        <w:textAlignment w:val="auto"/>
        <w:rPr>
          <w:rFonts w:ascii="宋体" w:hAnsi="宋体" w:cs="宋体"/>
          <w:b/>
          <w:bCs/>
          <w:szCs w:val="21"/>
          <w:lang w:val="zh-CN"/>
        </w:rPr>
      </w:pPr>
      <w:bookmarkStart w:id="44" w:name="_Toc16516682"/>
      <w:r>
        <w:rPr>
          <w:rFonts w:hint="eastAsia" w:ascii="宋体" w:hAnsi="宋体" w:cs="宋体"/>
          <w:b/>
          <w:bCs/>
          <w:szCs w:val="21"/>
          <w:lang w:val="zh-CN"/>
        </w:rPr>
        <w:t>(二)毕业标准</w:t>
      </w:r>
      <w:bookmarkEnd w:id="44"/>
    </w:p>
    <w:p w14:paraId="2DC537F4">
      <w:pPr>
        <w:pageBreakBefore w:val="0"/>
        <w:kinsoku/>
        <w:wordWrap/>
        <w:overflowPunct/>
        <w:topLinePunct w:val="0"/>
        <w:bidi w:val="0"/>
        <w:adjustRightInd w:val="0"/>
        <w:snapToGrid/>
        <w:spacing w:line="360" w:lineRule="exact"/>
        <w:ind w:firstLine="420" w:firstLineChars="200"/>
        <w:textAlignment w:val="auto"/>
      </w:pPr>
      <w:r>
        <w:rPr>
          <w:rFonts w:hint="eastAsia"/>
        </w:rPr>
        <w:t>学生思想品德符合要求，修完本专业人才培养方案规定的全部课程，完成各教育教学环节，考核成绩合格，修满规定课程学分和素质学分，获得国家中级以上职业资格证书1-2个，准予毕业。</w:t>
      </w:r>
    </w:p>
    <w:p w14:paraId="5B147CCF">
      <w:pPr>
        <w:pageBreakBefore w:val="0"/>
        <w:kinsoku/>
        <w:wordWrap/>
        <w:overflowPunct/>
        <w:topLinePunct w:val="0"/>
        <w:bidi w:val="0"/>
        <w:snapToGrid/>
        <w:spacing w:line="360" w:lineRule="exact"/>
        <w:jc w:val="center"/>
        <w:textAlignment w:val="auto"/>
        <w:rPr>
          <w:rFonts w:ascii="宋体" w:hAnsi="宋体"/>
          <w:b/>
          <w:bCs/>
          <w:szCs w:val="21"/>
        </w:rPr>
      </w:pPr>
      <w:r>
        <w:rPr>
          <w:rFonts w:hint="eastAsia" w:ascii="宋体" w:hAnsi="宋体"/>
          <w:b/>
          <w:bCs/>
          <w:szCs w:val="21"/>
        </w:rPr>
        <w:t>智慧健康养老服务与管理专业学分转换情况表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60"/>
        <w:gridCol w:w="1445"/>
        <w:gridCol w:w="1230"/>
        <w:gridCol w:w="962"/>
        <w:gridCol w:w="2921"/>
      </w:tblGrid>
      <w:tr w14:paraId="4977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4FAD652E">
            <w:pPr>
              <w:pageBreakBefore w:val="0"/>
              <w:kinsoku/>
              <w:wordWrap/>
              <w:overflowPunct/>
              <w:topLinePunct w:val="0"/>
              <w:bidi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序号</w:t>
            </w:r>
          </w:p>
        </w:tc>
        <w:tc>
          <w:tcPr>
            <w:tcW w:w="1860" w:type="dxa"/>
            <w:vAlign w:val="center"/>
          </w:tcPr>
          <w:p w14:paraId="62B8E781">
            <w:pPr>
              <w:pageBreakBefore w:val="0"/>
              <w:kinsoku/>
              <w:wordWrap/>
              <w:overflowPunct/>
              <w:topLinePunct w:val="0"/>
              <w:bidi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项目</w:t>
            </w:r>
          </w:p>
        </w:tc>
        <w:tc>
          <w:tcPr>
            <w:tcW w:w="2675" w:type="dxa"/>
            <w:gridSpan w:val="2"/>
            <w:vAlign w:val="center"/>
          </w:tcPr>
          <w:p w14:paraId="651245D2">
            <w:pPr>
              <w:pageBreakBefore w:val="0"/>
              <w:kinsoku/>
              <w:wordWrap/>
              <w:overflowPunct/>
              <w:topLinePunct w:val="0"/>
              <w:bidi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要求</w:t>
            </w:r>
          </w:p>
        </w:tc>
        <w:tc>
          <w:tcPr>
            <w:tcW w:w="962" w:type="dxa"/>
            <w:vAlign w:val="center"/>
          </w:tcPr>
          <w:p w14:paraId="788DEE45">
            <w:pPr>
              <w:pageBreakBefore w:val="0"/>
              <w:kinsoku/>
              <w:wordWrap/>
              <w:overflowPunct/>
              <w:topLinePunct w:val="0"/>
              <w:bidi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学分</w:t>
            </w:r>
          </w:p>
        </w:tc>
        <w:tc>
          <w:tcPr>
            <w:tcW w:w="2921" w:type="dxa"/>
            <w:vAlign w:val="center"/>
          </w:tcPr>
          <w:p w14:paraId="6F4D944D">
            <w:pPr>
              <w:pageBreakBefore w:val="0"/>
              <w:kinsoku/>
              <w:wordWrap/>
              <w:overflowPunct/>
              <w:topLinePunct w:val="0"/>
              <w:bidi w:val="0"/>
              <w:snapToGrid/>
              <w:spacing w:line="360" w:lineRule="exact"/>
              <w:jc w:val="center"/>
              <w:textAlignment w:val="auto"/>
              <w:rPr>
                <w:rFonts w:ascii="宋体" w:hAnsi="宋体" w:cs="宋体"/>
                <w:b/>
                <w:bCs/>
                <w:sz w:val="21"/>
                <w:szCs w:val="21"/>
              </w:rPr>
            </w:pPr>
            <w:r>
              <w:rPr>
                <w:rFonts w:hint="eastAsia" w:ascii="宋体" w:hAnsi="宋体" w:cs="宋体"/>
                <w:b/>
                <w:bCs/>
                <w:sz w:val="21"/>
                <w:szCs w:val="21"/>
              </w:rPr>
              <w:t>替换的课程或课程类型</w:t>
            </w:r>
          </w:p>
        </w:tc>
      </w:tr>
      <w:tr w14:paraId="3B48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F2BE9D3">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1</w:t>
            </w:r>
          </w:p>
        </w:tc>
        <w:tc>
          <w:tcPr>
            <w:tcW w:w="1860" w:type="dxa"/>
            <w:vAlign w:val="center"/>
          </w:tcPr>
          <w:p w14:paraId="1143B46B">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健康管理师证书</w:t>
            </w:r>
          </w:p>
        </w:tc>
        <w:tc>
          <w:tcPr>
            <w:tcW w:w="2675" w:type="dxa"/>
            <w:gridSpan w:val="2"/>
            <w:vAlign w:val="center"/>
          </w:tcPr>
          <w:p w14:paraId="43492410">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通过考试并获得证书</w:t>
            </w:r>
          </w:p>
        </w:tc>
        <w:tc>
          <w:tcPr>
            <w:tcW w:w="962" w:type="dxa"/>
            <w:vAlign w:val="center"/>
          </w:tcPr>
          <w:p w14:paraId="5AFB338D">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4</w:t>
            </w:r>
          </w:p>
        </w:tc>
        <w:tc>
          <w:tcPr>
            <w:tcW w:w="2921" w:type="dxa"/>
            <w:vAlign w:val="center"/>
          </w:tcPr>
          <w:p w14:paraId="5B6E92FE">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kern w:val="0"/>
                <w:sz w:val="18"/>
                <w:szCs w:val="18"/>
              </w:rPr>
              <w:t>常见疾病预防与康复</w:t>
            </w:r>
          </w:p>
        </w:tc>
      </w:tr>
      <w:tr w14:paraId="07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vAlign w:val="center"/>
          </w:tcPr>
          <w:p w14:paraId="436AB252">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2</w:t>
            </w:r>
          </w:p>
        </w:tc>
        <w:tc>
          <w:tcPr>
            <w:tcW w:w="1860" w:type="dxa"/>
            <w:vMerge w:val="restart"/>
            <w:vAlign w:val="center"/>
          </w:tcPr>
          <w:p w14:paraId="0D6A1EFC">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职业技能竞赛/</w:t>
            </w:r>
          </w:p>
          <w:p w14:paraId="0F83D4B6">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学科竞赛</w:t>
            </w:r>
          </w:p>
        </w:tc>
        <w:tc>
          <w:tcPr>
            <w:tcW w:w="1445" w:type="dxa"/>
            <w:vMerge w:val="restart"/>
            <w:vAlign w:val="center"/>
          </w:tcPr>
          <w:p w14:paraId="1AD0755D">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国家级</w:t>
            </w:r>
          </w:p>
        </w:tc>
        <w:tc>
          <w:tcPr>
            <w:tcW w:w="1230" w:type="dxa"/>
            <w:vAlign w:val="center"/>
          </w:tcPr>
          <w:p w14:paraId="449485AD">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一等奖</w:t>
            </w:r>
          </w:p>
        </w:tc>
        <w:tc>
          <w:tcPr>
            <w:tcW w:w="962" w:type="dxa"/>
            <w:vAlign w:val="center"/>
          </w:tcPr>
          <w:p w14:paraId="39B1157C">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12</w:t>
            </w:r>
          </w:p>
        </w:tc>
        <w:tc>
          <w:tcPr>
            <w:tcW w:w="2921" w:type="dxa"/>
            <w:vMerge w:val="restart"/>
            <w:vAlign w:val="center"/>
          </w:tcPr>
          <w:p w14:paraId="5B66F03F">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专业核心课</w:t>
            </w:r>
          </w:p>
          <w:p w14:paraId="0C3B9704">
            <w:pPr>
              <w:pageBreakBefore w:val="0"/>
              <w:kinsoku/>
              <w:wordWrap/>
              <w:overflowPunct/>
              <w:topLinePunct w:val="0"/>
              <w:bidi w:val="0"/>
              <w:snapToGrid/>
              <w:spacing w:line="360" w:lineRule="exact"/>
              <w:jc w:val="center"/>
              <w:textAlignment w:val="auto"/>
              <w:rPr>
                <w:rFonts w:ascii="宋体" w:hAnsi="宋体" w:cs="宋体"/>
                <w:sz w:val="18"/>
                <w:szCs w:val="18"/>
              </w:rPr>
            </w:pPr>
          </w:p>
        </w:tc>
      </w:tr>
      <w:tr w14:paraId="2EE6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23C9D011">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860" w:type="dxa"/>
            <w:vMerge w:val="continue"/>
            <w:vAlign w:val="center"/>
          </w:tcPr>
          <w:p w14:paraId="7186D004">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445" w:type="dxa"/>
            <w:vMerge w:val="continue"/>
            <w:vAlign w:val="center"/>
          </w:tcPr>
          <w:p w14:paraId="576A6720">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230" w:type="dxa"/>
            <w:vAlign w:val="center"/>
          </w:tcPr>
          <w:p w14:paraId="26C29BC5">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二等奖</w:t>
            </w:r>
          </w:p>
        </w:tc>
        <w:tc>
          <w:tcPr>
            <w:tcW w:w="962" w:type="dxa"/>
            <w:vAlign w:val="center"/>
          </w:tcPr>
          <w:p w14:paraId="67D921B1">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10</w:t>
            </w:r>
          </w:p>
        </w:tc>
        <w:tc>
          <w:tcPr>
            <w:tcW w:w="2921" w:type="dxa"/>
            <w:vMerge w:val="continue"/>
            <w:vAlign w:val="center"/>
          </w:tcPr>
          <w:p w14:paraId="30F36DF8">
            <w:pPr>
              <w:pageBreakBefore w:val="0"/>
              <w:kinsoku/>
              <w:wordWrap/>
              <w:overflowPunct/>
              <w:topLinePunct w:val="0"/>
              <w:bidi w:val="0"/>
              <w:snapToGrid/>
              <w:spacing w:line="360" w:lineRule="exact"/>
              <w:jc w:val="center"/>
              <w:textAlignment w:val="auto"/>
              <w:rPr>
                <w:rFonts w:ascii="宋体" w:hAnsi="宋体" w:cs="宋体"/>
                <w:sz w:val="18"/>
                <w:szCs w:val="18"/>
              </w:rPr>
            </w:pPr>
          </w:p>
        </w:tc>
      </w:tr>
      <w:tr w14:paraId="0803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01E83154">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860" w:type="dxa"/>
            <w:vMerge w:val="continue"/>
            <w:vAlign w:val="center"/>
          </w:tcPr>
          <w:p w14:paraId="7A120BE2">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445" w:type="dxa"/>
            <w:vMerge w:val="continue"/>
            <w:vAlign w:val="center"/>
          </w:tcPr>
          <w:p w14:paraId="19F9D376">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230" w:type="dxa"/>
            <w:vAlign w:val="center"/>
          </w:tcPr>
          <w:p w14:paraId="33039421">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三等奖</w:t>
            </w:r>
          </w:p>
        </w:tc>
        <w:tc>
          <w:tcPr>
            <w:tcW w:w="962" w:type="dxa"/>
            <w:vAlign w:val="center"/>
          </w:tcPr>
          <w:p w14:paraId="507C41DD">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6</w:t>
            </w:r>
          </w:p>
        </w:tc>
        <w:tc>
          <w:tcPr>
            <w:tcW w:w="2921" w:type="dxa"/>
            <w:vMerge w:val="continue"/>
            <w:vAlign w:val="center"/>
          </w:tcPr>
          <w:p w14:paraId="21079B2E">
            <w:pPr>
              <w:pageBreakBefore w:val="0"/>
              <w:kinsoku/>
              <w:wordWrap/>
              <w:overflowPunct/>
              <w:topLinePunct w:val="0"/>
              <w:bidi w:val="0"/>
              <w:snapToGrid/>
              <w:spacing w:line="360" w:lineRule="exact"/>
              <w:jc w:val="center"/>
              <w:textAlignment w:val="auto"/>
              <w:rPr>
                <w:rFonts w:ascii="宋体" w:hAnsi="宋体" w:cs="宋体"/>
                <w:sz w:val="18"/>
                <w:szCs w:val="18"/>
              </w:rPr>
            </w:pPr>
          </w:p>
        </w:tc>
      </w:tr>
      <w:tr w14:paraId="65EC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3C9379F4">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860" w:type="dxa"/>
            <w:vMerge w:val="continue"/>
            <w:vAlign w:val="center"/>
          </w:tcPr>
          <w:p w14:paraId="6D785089">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445" w:type="dxa"/>
            <w:vMerge w:val="restart"/>
            <w:vAlign w:val="center"/>
          </w:tcPr>
          <w:p w14:paraId="4C7470A7">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省级</w:t>
            </w:r>
          </w:p>
        </w:tc>
        <w:tc>
          <w:tcPr>
            <w:tcW w:w="1230" w:type="dxa"/>
            <w:vAlign w:val="center"/>
          </w:tcPr>
          <w:p w14:paraId="043EA66D">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一等奖</w:t>
            </w:r>
          </w:p>
        </w:tc>
        <w:tc>
          <w:tcPr>
            <w:tcW w:w="962" w:type="dxa"/>
            <w:vAlign w:val="center"/>
          </w:tcPr>
          <w:p w14:paraId="6E1B8AD5">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10</w:t>
            </w:r>
          </w:p>
        </w:tc>
        <w:tc>
          <w:tcPr>
            <w:tcW w:w="2921" w:type="dxa"/>
            <w:vMerge w:val="continue"/>
            <w:vAlign w:val="center"/>
          </w:tcPr>
          <w:p w14:paraId="7899DCB8">
            <w:pPr>
              <w:pageBreakBefore w:val="0"/>
              <w:kinsoku/>
              <w:wordWrap/>
              <w:overflowPunct/>
              <w:topLinePunct w:val="0"/>
              <w:bidi w:val="0"/>
              <w:snapToGrid/>
              <w:spacing w:line="360" w:lineRule="exact"/>
              <w:jc w:val="center"/>
              <w:textAlignment w:val="auto"/>
              <w:rPr>
                <w:rFonts w:ascii="宋体" w:hAnsi="宋体" w:cs="宋体"/>
                <w:sz w:val="18"/>
                <w:szCs w:val="18"/>
              </w:rPr>
            </w:pPr>
          </w:p>
        </w:tc>
      </w:tr>
      <w:tr w14:paraId="7DF7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65BFBC68">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860" w:type="dxa"/>
            <w:vMerge w:val="continue"/>
            <w:vAlign w:val="center"/>
          </w:tcPr>
          <w:p w14:paraId="587F38BF">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445" w:type="dxa"/>
            <w:vMerge w:val="continue"/>
            <w:vAlign w:val="center"/>
          </w:tcPr>
          <w:p w14:paraId="4CFCCA1B">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230" w:type="dxa"/>
            <w:vAlign w:val="center"/>
          </w:tcPr>
          <w:p w14:paraId="167F2DCB">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二等奖</w:t>
            </w:r>
          </w:p>
        </w:tc>
        <w:tc>
          <w:tcPr>
            <w:tcW w:w="962" w:type="dxa"/>
            <w:vAlign w:val="center"/>
          </w:tcPr>
          <w:p w14:paraId="25427ECF">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6</w:t>
            </w:r>
          </w:p>
        </w:tc>
        <w:tc>
          <w:tcPr>
            <w:tcW w:w="2921" w:type="dxa"/>
            <w:vMerge w:val="continue"/>
            <w:vAlign w:val="center"/>
          </w:tcPr>
          <w:p w14:paraId="46ADC028">
            <w:pPr>
              <w:pageBreakBefore w:val="0"/>
              <w:kinsoku/>
              <w:wordWrap/>
              <w:overflowPunct/>
              <w:topLinePunct w:val="0"/>
              <w:bidi w:val="0"/>
              <w:snapToGrid/>
              <w:spacing w:line="360" w:lineRule="exact"/>
              <w:jc w:val="center"/>
              <w:textAlignment w:val="auto"/>
              <w:rPr>
                <w:rFonts w:ascii="宋体" w:hAnsi="宋体" w:cs="宋体"/>
                <w:sz w:val="18"/>
                <w:szCs w:val="18"/>
              </w:rPr>
            </w:pPr>
          </w:p>
        </w:tc>
      </w:tr>
      <w:tr w14:paraId="59BE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498C29B2">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860" w:type="dxa"/>
            <w:vMerge w:val="continue"/>
            <w:vAlign w:val="center"/>
          </w:tcPr>
          <w:p w14:paraId="3BC6874F">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445" w:type="dxa"/>
            <w:vMerge w:val="continue"/>
            <w:vAlign w:val="center"/>
          </w:tcPr>
          <w:p w14:paraId="340F0A8B">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230" w:type="dxa"/>
            <w:vAlign w:val="center"/>
          </w:tcPr>
          <w:p w14:paraId="57D4C2C5">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三等奖</w:t>
            </w:r>
          </w:p>
        </w:tc>
        <w:tc>
          <w:tcPr>
            <w:tcW w:w="962" w:type="dxa"/>
            <w:vAlign w:val="center"/>
          </w:tcPr>
          <w:p w14:paraId="6A15666E">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4</w:t>
            </w:r>
          </w:p>
        </w:tc>
        <w:tc>
          <w:tcPr>
            <w:tcW w:w="2921" w:type="dxa"/>
            <w:vMerge w:val="continue"/>
            <w:vAlign w:val="center"/>
          </w:tcPr>
          <w:p w14:paraId="409C312D">
            <w:pPr>
              <w:pageBreakBefore w:val="0"/>
              <w:kinsoku/>
              <w:wordWrap/>
              <w:overflowPunct/>
              <w:topLinePunct w:val="0"/>
              <w:bidi w:val="0"/>
              <w:snapToGrid/>
              <w:spacing w:line="360" w:lineRule="exact"/>
              <w:jc w:val="center"/>
              <w:textAlignment w:val="auto"/>
              <w:rPr>
                <w:rFonts w:ascii="宋体" w:hAnsi="宋体" w:cs="宋体"/>
                <w:sz w:val="18"/>
                <w:szCs w:val="18"/>
              </w:rPr>
            </w:pPr>
          </w:p>
        </w:tc>
      </w:tr>
      <w:tr w14:paraId="3BAA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1E7AF199">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860" w:type="dxa"/>
            <w:vMerge w:val="continue"/>
            <w:vAlign w:val="center"/>
          </w:tcPr>
          <w:p w14:paraId="7A2A8467">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445" w:type="dxa"/>
            <w:vMerge w:val="restart"/>
            <w:vAlign w:val="center"/>
          </w:tcPr>
          <w:p w14:paraId="17BAC964">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地市或院级</w:t>
            </w:r>
          </w:p>
        </w:tc>
        <w:tc>
          <w:tcPr>
            <w:tcW w:w="1230" w:type="dxa"/>
            <w:vAlign w:val="center"/>
          </w:tcPr>
          <w:p w14:paraId="37527EB6">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一等奖</w:t>
            </w:r>
          </w:p>
        </w:tc>
        <w:tc>
          <w:tcPr>
            <w:tcW w:w="962" w:type="dxa"/>
            <w:vAlign w:val="center"/>
          </w:tcPr>
          <w:p w14:paraId="76ECCB93">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2</w:t>
            </w:r>
          </w:p>
        </w:tc>
        <w:tc>
          <w:tcPr>
            <w:tcW w:w="2921" w:type="dxa"/>
            <w:vMerge w:val="restart"/>
            <w:vAlign w:val="center"/>
          </w:tcPr>
          <w:p w14:paraId="734B3C43">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专业拓展课</w:t>
            </w:r>
          </w:p>
        </w:tc>
      </w:tr>
      <w:tr w14:paraId="5249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106383CA">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860" w:type="dxa"/>
            <w:vMerge w:val="continue"/>
            <w:vAlign w:val="center"/>
          </w:tcPr>
          <w:p w14:paraId="09D60ADA">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445" w:type="dxa"/>
            <w:vMerge w:val="continue"/>
            <w:vAlign w:val="center"/>
          </w:tcPr>
          <w:p w14:paraId="5DA4C8C7">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230" w:type="dxa"/>
            <w:vAlign w:val="center"/>
          </w:tcPr>
          <w:p w14:paraId="4D6E3CD9">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二等奖</w:t>
            </w:r>
          </w:p>
        </w:tc>
        <w:tc>
          <w:tcPr>
            <w:tcW w:w="962" w:type="dxa"/>
            <w:vAlign w:val="center"/>
          </w:tcPr>
          <w:p w14:paraId="6DD69019">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1</w:t>
            </w:r>
          </w:p>
        </w:tc>
        <w:tc>
          <w:tcPr>
            <w:tcW w:w="2921" w:type="dxa"/>
            <w:vMerge w:val="continue"/>
            <w:vAlign w:val="center"/>
          </w:tcPr>
          <w:p w14:paraId="535AF05F">
            <w:pPr>
              <w:pageBreakBefore w:val="0"/>
              <w:kinsoku/>
              <w:wordWrap/>
              <w:overflowPunct/>
              <w:topLinePunct w:val="0"/>
              <w:bidi w:val="0"/>
              <w:snapToGrid/>
              <w:spacing w:line="360" w:lineRule="exact"/>
              <w:jc w:val="center"/>
              <w:textAlignment w:val="auto"/>
              <w:rPr>
                <w:rFonts w:ascii="宋体" w:hAnsi="宋体" w:cs="宋体"/>
                <w:sz w:val="18"/>
                <w:szCs w:val="18"/>
              </w:rPr>
            </w:pPr>
          </w:p>
        </w:tc>
      </w:tr>
      <w:tr w14:paraId="70E6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9" w:type="dxa"/>
            <w:vMerge w:val="restart"/>
            <w:vAlign w:val="center"/>
          </w:tcPr>
          <w:p w14:paraId="51D239B0">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3</w:t>
            </w:r>
          </w:p>
        </w:tc>
        <w:tc>
          <w:tcPr>
            <w:tcW w:w="1860" w:type="dxa"/>
            <w:vMerge w:val="restart"/>
            <w:vAlign w:val="center"/>
          </w:tcPr>
          <w:p w14:paraId="11D22615">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公开发表作品</w:t>
            </w:r>
          </w:p>
        </w:tc>
        <w:tc>
          <w:tcPr>
            <w:tcW w:w="1445" w:type="dxa"/>
            <w:vAlign w:val="center"/>
          </w:tcPr>
          <w:p w14:paraId="79A12F9C">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期刊</w:t>
            </w:r>
          </w:p>
        </w:tc>
        <w:tc>
          <w:tcPr>
            <w:tcW w:w="1230" w:type="dxa"/>
            <w:vAlign w:val="center"/>
          </w:tcPr>
          <w:p w14:paraId="6CD8E47B">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第一/二作者</w:t>
            </w:r>
          </w:p>
        </w:tc>
        <w:tc>
          <w:tcPr>
            <w:tcW w:w="962" w:type="dxa"/>
            <w:vMerge w:val="restart"/>
            <w:vAlign w:val="center"/>
          </w:tcPr>
          <w:p w14:paraId="353576C6">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4</w:t>
            </w:r>
          </w:p>
        </w:tc>
        <w:tc>
          <w:tcPr>
            <w:tcW w:w="2921" w:type="dxa"/>
            <w:vMerge w:val="restart"/>
            <w:vAlign w:val="center"/>
          </w:tcPr>
          <w:p w14:paraId="47949C25">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专业拓展课</w:t>
            </w:r>
          </w:p>
        </w:tc>
      </w:tr>
      <w:tr w14:paraId="5E79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9" w:type="dxa"/>
            <w:vMerge w:val="continue"/>
            <w:vAlign w:val="center"/>
          </w:tcPr>
          <w:p w14:paraId="33271A3E">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860" w:type="dxa"/>
            <w:vMerge w:val="continue"/>
            <w:vAlign w:val="center"/>
          </w:tcPr>
          <w:p w14:paraId="6B894891">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445" w:type="dxa"/>
            <w:vAlign w:val="center"/>
          </w:tcPr>
          <w:p w14:paraId="0A9714FC">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学报</w:t>
            </w:r>
          </w:p>
        </w:tc>
        <w:tc>
          <w:tcPr>
            <w:tcW w:w="1230" w:type="dxa"/>
            <w:vAlign w:val="center"/>
          </w:tcPr>
          <w:p w14:paraId="7AC79FE3">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第一/二作者</w:t>
            </w:r>
          </w:p>
        </w:tc>
        <w:tc>
          <w:tcPr>
            <w:tcW w:w="962" w:type="dxa"/>
            <w:vMerge w:val="continue"/>
            <w:vAlign w:val="center"/>
          </w:tcPr>
          <w:p w14:paraId="0A17AE85">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2921" w:type="dxa"/>
            <w:vMerge w:val="continue"/>
            <w:vAlign w:val="center"/>
          </w:tcPr>
          <w:p w14:paraId="0D479E3B">
            <w:pPr>
              <w:pageBreakBefore w:val="0"/>
              <w:kinsoku/>
              <w:wordWrap/>
              <w:overflowPunct/>
              <w:topLinePunct w:val="0"/>
              <w:bidi w:val="0"/>
              <w:snapToGrid/>
              <w:spacing w:line="360" w:lineRule="exact"/>
              <w:jc w:val="center"/>
              <w:textAlignment w:val="auto"/>
              <w:rPr>
                <w:rFonts w:ascii="宋体" w:hAnsi="宋体" w:cs="宋体"/>
                <w:sz w:val="18"/>
                <w:szCs w:val="18"/>
              </w:rPr>
            </w:pPr>
          </w:p>
        </w:tc>
      </w:tr>
      <w:tr w14:paraId="7B3A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Merge w:val="continue"/>
            <w:vAlign w:val="center"/>
          </w:tcPr>
          <w:p w14:paraId="5761C91C">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860" w:type="dxa"/>
            <w:vMerge w:val="continue"/>
            <w:vAlign w:val="center"/>
          </w:tcPr>
          <w:p w14:paraId="2BC6C878">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445" w:type="dxa"/>
            <w:vAlign w:val="center"/>
          </w:tcPr>
          <w:p w14:paraId="2B82D432">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著作</w:t>
            </w:r>
          </w:p>
        </w:tc>
        <w:tc>
          <w:tcPr>
            <w:tcW w:w="1230" w:type="dxa"/>
            <w:vAlign w:val="center"/>
          </w:tcPr>
          <w:p w14:paraId="349217AA">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第一/二作者</w:t>
            </w:r>
          </w:p>
        </w:tc>
        <w:tc>
          <w:tcPr>
            <w:tcW w:w="962" w:type="dxa"/>
            <w:vMerge w:val="continue"/>
            <w:vAlign w:val="center"/>
          </w:tcPr>
          <w:p w14:paraId="59FE18C6">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2921" w:type="dxa"/>
            <w:vMerge w:val="continue"/>
            <w:vAlign w:val="center"/>
          </w:tcPr>
          <w:p w14:paraId="3039B601">
            <w:pPr>
              <w:pageBreakBefore w:val="0"/>
              <w:kinsoku/>
              <w:wordWrap/>
              <w:overflowPunct/>
              <w:topLinePunct w:val="0"/>
              <w:bidi w:val="0"/>
              <w:snapToGrid/>
              <w:spacing w:line="360" w:lineRule="exact"/>
              <w:jc w:val="center"/>
              <w:textAlignment w:val="auto"/>
              <w:rPr>
                <w:rFonts w:ascii="宋体" w:hAnsi="宋体" w:cs="宋体"/>
                <w:sz w:val="18"/>
                <w:szCs w:val="18"/>
              </w:rPr>
            </w:pPr>
          </w:p>
        </w:tc>
      </w:tr>
      <w:tr w14:paraId="5ADC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restart"/>
            <w:vAlign w:val="center"/>
          </w:tcPr>
          <w:p w14:paraId="1DD65B5E">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4</w:t>
            </w:r>
          </w:p>
        </w:tc>
        <w:tc>
          <w:tcPr>
            <w:tcW w:w="1860" w:type="dxa"/>
            <w:vMerge w:val="restart"/>
            <w:vAlign w:val="center"/>
          </w:tcPr>
          <w:p w14:paraId="40FA0BC9">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发明专利</w:t>
            </w:r>
          </w:p>
        </w:tc>
        <w:tc>
          <w:tcPr>
            <w:tcW w:w="2675" w:type="dxa"/>
            <w:gridSpan w:val="2"/>
            <w:vAlign w:val="center"/>
          </w:tcPr>
          <w:p w14:paraId="69B8D2BA">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发明授权</w:t>
            </w:r>
          </w:p>
        </w:tc>
        <w:tc>
          <w:tcPr>
            <w:tcW w:w="962" w:type="dxa"/>
            <w:vMerge w:val="restart"/>
            <w:vAlign w:val="center"/>
          </w:tcPr>
          <w:p w14:paraId="34330E33">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4</w:t>
            </w:r>
          </w:p>
        </w:tc>
        <w:tc>
          <w:tcPr>
            <w:tcW w:w="2921" w:type="dxa"/>
            <w:vMerge w:val="restart"/>
            <w:vAlign w:val="center"/>
          </w:tcPr>
          <w:p w14:paraId="38E76B13">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专业拓展课</w:t>
            </w:r>
          </w:p>
        </w:tc>
      </w:tr>
      <w:tr w14:paraId="3B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continue"/>
            <w:vAlign w:val="center"/>
          </w:tcPr>
          <w:p w14:paraId="483C884B">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1860" w:type="dxa"/>
            <w:vMerge w:val="continue"/>
            <w:vAlign w:val="center"/>
          </w:tcPr>
          <w:p w14:paraId="596424D0">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2675" w:type="dxa"/>
            <w:gridSpan w:val="2"/>
            <w:vAlign w:val="center"/>
          </w:tcPr>
          <w:p w14:paraId="32F2DB34">
            <w:pPr>
              <w:pageBreakBefore w:val="0"/>
              <w:kinsoku/>
              <w:wordWrap/>
              <w:overflowPunct/>
              <w:topLinePunct w:val="0"/>
              <w:bidi w:val="0"/>
              <w:snapToGrid/>
              <w:spacing w:line="360" w:lineRule="exact"/>
              <w:jc w:val="center"/>
              <w:textAlignment w:val="auto"/>
              <w:rPr>
                <w:rFonts w:ascii="宋体" w:hAnsi="宋体" w:cs="宋体"/>
                <w:sz w:val="18"/>
                <w:szCs w:val="18"/>
              </w:rPr>
            </w:pPr>
            <w:r>
              <w:rPr>
                <w:rFonts w:hint="eastAsia" w:ascii="宋体" w:hAnsi="宋体" w:cs="宋体"/>
                <w:sz w:val="18"/>
                <w:szCs w:val="18"/>
              </w:rPr>
              <w:t>实用新型</w:t>
            </w:r>
          </w:p>
        </w:tc>
        <w:tc>
          <w:tcPr>
            <w:tcW w:w="962" w:type="dxa"/>
            <w:vMerge w:val="continue"/>
            <w:vAlign w:val="center"/>
          </w:tcPr>
          <w:p w14:paraId="2B4483A8">
            <w:pPr>
              <w:pageBreakBefore w:val="0"/>
              <w:kinsoku/>
              <w:wordWrap/>
              <w:overflowPunct/>
              <w:topLinePunct w:val="0"/>
              <w:bidi w:val="0"/>
              <w:snapToGrid/>
              <w:spacing w:line="360" w:lineRule="exact"/>
              <w:jc w:val="center"/>
              <w:textAlignment w:val="auto"/>
              <w:rPr>
                <w:rFonts w:ascii="宋体" w:hAnsi="宋体" w:cs="宋体"/>
                <w:sz w:val="18"/>
                <w:szCs w:val="18"/>
              </w:rPr>
            </w:pPr>
          </w:p>
        </w:tc>
        <w:tc>
          <w:tcPr>
            <w:tcW w:w="2921" w:type="dxa"/>
            <w:vMerge w:val="continue"/>
            <w:vAlign w:val="center"/>
          </w:tcPr>
          <w:p w14:paraId="189FD115">
            <w:pPr>
              <w:pageBreakBefore w:val="0"/>
              <w:kinsoku/>
              <w:wordWrap/>
              <w:overflowPunct/>
              <w:topLinePunct w:val="0"/>
              <w:bidi w:val="0"/>
              <w:snapToGrid/>
              <w:spacing w:line="360" w:lineRule="exact"/>
              <w:jc w:val="center"/>
              <w:textAlignment w:val="auto"/>
              <w:rPr>
                <w:rFonts w:ascii="宋体" w:hAnsi="宋体" w:cs="宋体"/>
                <w:sz w:val="18"/>
                <w:szCs w:val="18"/>
              </w:rPr>
            </w:pPr>
          </w:p>
        </w:tc>
      </w:tr>
    </w:tbl>
    <w:p w14:paraId="6D2917DF">
      <w:pPr>
        <w:pageBreakBefore w:val="0"/>
        <w:kinsoku/>
        <w:wordWrap/>
        <w:overflowPunct/>
        <w:topLinePunct w:val="0"/>
        <w:bidi w:val="0"/>
        <w:snapToGrid/>
        <w:spacing w:line="360" w:lineRule="exact"/>
        <w:textAlignment w:val="auto"/>
      </w:pPr>
    </w:p>
    <w:p w14:paraId="62A19BA3">
      <w:pPr>
        <w:pStyle w:val="3"/>
        <w:pageBreakBefore w:val="0"/>
        <w:kinsoku/>
        <w:wordWrap/>
        <w:overflowPunct/>
        <w:topLinePunct w:val="0"/>
        <w:bidi w:val="0"/>
        <w:snapToGrid/>
        <w:spacing w:before="0" w:beforeLines="0" w:after="0" w:afterLines="0" w:line="360" w:lineRule="exact"/>
        <w:ind w:firstLine="482"/>
        <w:textAlignment w:val="auto"/>
        <w:rPr>
          <w:rFonts w:hint="default" w:ascii="Times New Roman" w:hAnsi="Times New Roman"/>
          <w:kern w:val="2"/>
          <w:sz w:val="24"/>
          <w:szCs w:val="24"/>
        </w:rPr>
      </w:pPr>
      <w:r>
        <w:rPr>
          <w:rFonts w:ascii="Times New Roman" w:hAnsi="Times New Roman"/>
          <w:kern w:val="2"/>
          <w:sz w:val="24"/>
          <w:szCs w:val="24"/>
        </w:rPr>
        <w:t>十、附录</w:t>
      </w:r>
    </w:p>
    <w:p w14:paraId="3988B551">
      <w:pPr>
        <w:pageBreakBefore w:val="0"/>
        <w:kinsoku/>
        <w:wordWrap/>
        <w:overflowPunct/>
        <w:topLinePunct w:val="0"/>
        <w:bidi w:val="0"/>
        <w:adjustRightInd w:val="0"/>
        <w:snapToGrid/>
        <w:spacing w:line="360" w:lineRule="exact"/>
        <w:ind w:firstLine="420" w:firstLineChars="200"/>
        <w:textAlignment w:val="auto"/>
        <w:rPr>
          <w:rFonts w:hint="eastAsia"/>
        </w:rPr>
      </w:pPr>
      <w:r>
        <w:rPr>
          <w:rFonts w:hint="eastAsia"/>
          <w:lang w:val="en-US" w:eastAsia="zh-CN"/>
        </w:rPr>
        <w:t>1.</w:t>
      </w:r>
      <w:r>
        <w:rPr>
          <w:rFonts w:hint="eastAsia"/>
        </w:rPr>
        <w:t>人才培养方案专业建设委员会审核意见表</w:t>
      </w:r>
    </w:p>
    <w:p w14:paraId="0CB7498B">
      <w:pPr>
        <w:pageBreakBefore w:val="0"/>
        <w:kinsoku/>
        <w:wordWrap/>
        <w:overflowPunct/>
        <w:topLinePunct w:val="0"/>
        <w:bidi w:val="0"/>
        <w:adjustRightInd w:val="0"/>
        <w:snapToGrid/>
        <w:spacing w:line="360" w:lineRule="exact"/>
        <w:ind w:firstLine="420" w:firstLineChars="200"/>
        <w:textAlignment w:val="auto"/>
        <w:rPr>
          <w:rFonts w:hint="default" w:eastAsia="宋体"/>
          <w:lang w:val="en-US" w:eastAsia="zh-CN"/>
        </w:rPr>
      </w:pPr>
      <w:r>
        <w:rPr>
          <w:rFonts w:hint="eastAsia"/>
          <w:lang w:val="en-US" w:eastAsia="zh-CN"/>
        </w:rPr>
        <w:t>2.人才培养方案校级审定意见表</w:t>
      </w:r>
    </w:p>
    <w:bookmarkEnd w:id="40"/>
    <w:bookmarkEnd w:id="41"/>
    <w:bookmarkEnd w:id="42"/>
    <w:p w14:paraId="57C430E6">
      <w:pPr>
        <w:spacing w:line="360" w:lineRule="auto"/>
        <w:rPr>
          <w:rFonts w:ascii="黑体" w:eastAsia="黑体" w:cs="黑体"/>
          <w:color w:val="000000"/>
          <w:sz w:val="32"/>
          <w:szCs w:val="40"/>
        </w:rPr>
      </w:pPr>
    </w:p>
    <w:p w14:paraId="68E12A1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编制团队成员：张亚杰、张颖、段凯旋</w:t>
      </w:r>
    </w:p>
    <w:p w14:paraId="51146A1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行业企业名称：</w:t>
      </w:r>
      <w:r>
        <w:rPr>
          <w:rFonts w:hint="eastAsia" w:ascii="宋体" w:hAnsi="宋体" w:cs="宋体"/>
          <w:color w:val="000000"/>
          <w:sz w:val="21"/>
          <w:szCs w:val="21"/>
          <w:lang w:val="en-US" w:eastAsia="zh-CN"/>
        </w:rPr>
        <w:t>鄢陵医院、</w:t>
      </w:r>
      <w:r>
        <w:rPr>
          <w:rFonts w:hint="eastAsia" w:ascii="宋体" w:hAnsi="宋体" w:eastAsia="宋体" w:cs="宋体"/>
          <w:color w:val="000000"/>
          <w:sz w:val="21"/>
          <w:szCs w:val="21"/>
        </w:rPr>
        <w:t>许昌市怡康苑养老服务有限公司</w:t>
      </w:r>
    </w:p>
    <w:p w14:paraId="49DB996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行业企业人员：</w:t>
      </w:r>
      <w:r>
        <w:rPr>
          <w:rFonts w:hint="eastAsia" w:ascii="宋体" w:hAnsi="宋体" w:cs="宋体"/>
          <w:color w:val="000000"/>
          <w:sz w:val="21"/>
          <w:szCs w:val="21"/>
          <w:lang w:val="en-US" w:eastAsia="zh-CN"/>
        </w:rPr>
        <w:t>罗小兵、姚培科</w:t>
      </w:r>
    </w:p>
    <w:p w14:paraId="5683193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院部领导（审核）：</w:t>
      </w:r>
      <w:r>
        <w:rPr>
          <w:rFonts w:hint="eastAsia" w:ascii="宋体" w:hAnsi="宋体" w:eastAsia="宋体" w:cs="宋体"/>
          <w:color w:val="000000"/>
          <w:sz w:val="21"/>
          <w:szCs w:val="21"/>
          <w:lang w:val="en-US" w:eastAsia="zh-CN"/>
        </w:rPr>
        <w:t>赵新军</w:t>
      </w:r>
    </w:p>
    <w:p w14:paraId="297437C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000000"/>
          <w:sz w:val="21"/>
          <w:szCs w:val="21"/>
          <w:lang w:val="en-US" w:eastAsia="zh-CN"/>
        </w:rPr>
      </w:pPr>
      <w:r>
        <w:rPr>
          <w:rFonts w:hint="eastAsia" w:ascii="宋体" w:hAnsi="宋体" w:eastAsia="宋体" w:cs="宋体"/>
          <w:color w:val="000000"/>
          <w:sz w:val="21"/>
          <w:szCs w:val="21"/>
        </w:rPr>
        <w:t>教务处领导（审定）：</w:t>
      </w:r>
      <w:r>
        <w:rPr>
          <w:rFonts w:hint="eastAsia" w:ascii="宋体" w:hAnsi="宋体" w:eastAsia="宋体" w:cs="宋体"/>
          <w:color w:val="000000"/>
          <w:sz w:val="21"/>
          <w:szCs w:val="21"/>
          <w:lang w:val="en-US" w:eastAsia="zh-CN"/>
        </w:rPr>
        <w:t>郭磊</w:t>
      </w:r>
    </w:p>
    <w:p w14:paraId="62B5D07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主管院长（批准执行）：</w:t>
      </w:r>
      <w:bookmarkStart w:id="45" w:name="_Toc29885"/>
      <w:bookmarkStart w:id="46" w:name="_Toc7718"/>
      <w:bookmarkStart w:id="47" w:name="_Toc1500"/>
      <w:r>
        <w:rPr>
          <w:rFonts w:hint="eastAsia" w:ascii="宋体" w:hAnsi="宋体" w:eastAsia="宋体" w:cs="宋体"/>
          <w:color w:val="000000"/>
          <w:sz w:val="21"/>
          <w:szCs w:val="21"/>
          <w:lang w:val="en-US" w:eastAsia="zh-CN"/>
        </w:rPr>
        <w:t>冯朝印</w:t>
      </w:r>
    </w:p>
    <w:p w14:paraId="69CD2837">
      <w:pPr>
        <w:rPr>
          <w:rFonts w:hint="eastAsia" w:ascii="黑体" w:eastAsia="黑体" w:cs="黑体"/>
          <w:color w:val="000000"/>
          <w:sz w:val="30"/>
          <w:szCs w:val="30"/>
        </w:rPr>
      </w:pPr>
      <w:r>
        <w:rPr>
          <w:rFonts w:hint="eastAsia" w:ascii="黑体" w:eastAsia="黑体" w:cs="黑体"/>
          <w:color w:val="000000"/>
          <w:sz w:val="30"/>
          <w:szCs w:val="30"/>
        </w:rPr>
        <w:br w:type="page"/>
      </w:r>
    </w:p>
    <w:p w14:paraId="57EE85B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附录</w:t>
      </w:r>
      <w:r>
        <w:rPr>
          <w:rFonts w:hint="eastAsia" w:ascii="宋体" w:hAnsi="宋体" w:eastAsia="宋体" w:cs="宋体"/>
          <w:color w:val="000000"/>
          <w:sz w:val="21"/>
          <w:szCs w:val="21"/>
          <w:lang w:val="en-US" w:eastAsia="zh-CN"/>
        </w:rPr>
        <w:t>一：</w:t>
      </w:r>
    </w:p>
    <w:bookmarkEnd w:id="45"/>
    <w:bookmarkEnd w:id="46"/>
    <w:bookmarkEnd w:id="47"/>
    <w:p w14:paraId="5D90DC3C">
      <w:pPr>
        <w:pStyle w:val="2"/>
        <w:rPr>
          <w:rFonts w:hint="eastAsia" w:eastAsia="宋体"/>
          <w:lang w:eastAsia="zh-CN"/>
        </w:rPr>
      </w:pPr>
      <w:r>
        <w:rPr>
          <w:rFonts w:hint="eastAsia" w:eastAsia="宋体"/>
          <w:lang w:eastAsia="zh-CN"/>
        </w:rPr>
        <w:drawing>
          <wp:inline distT="0" distB="0" distL="114300" distR="114300">
            <wp:extent cx="5436235" cy="8268970"/>
            <wp:effectExtent l="0" t="0" r="4445" b="6350"/>
            <wp:docPr id="2" name="图片 2" descr="5f8b0402de1bf0e5f020ceb09b25e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f8b0402de1bf0e5f020ceb09b25e0f"/>
                    <pic:cNvPicPr>
                      <a:picLocks noChangeAspect="1"/>
                    </pic:cNvPicPr>
                  </pic:nvPicPr>
                  <pic:blipFill>
                    <a:blip r:embed="rId6"/>
                    <a:stretch>
                      <a:fillRect/>
                    </a:stretch>
                  </pic:blipFill>
                  <pic:spPr>
                    <a:xfrm>
                      <a:off x="0" y="0"/>
                      <a:ext cx="5436235" cy="8268970"/>
                    </a:xfrm>
                    <a:prstGeom prst="rect">
                      <a:avLst/>
                    </a:prstGeom>
                  </pic:spPr>
                </pic:pic>
              </a:graphicData>
            </a:graphic>
          </wp:inline>
        </w:drawing>
      </w:r>
    </w:p>
    <w:p w14:paraId="424B8C38">
      <w:pPr>
        <w:pStyle w:val="2"/>
        <w:rPr>
          <w:rFonts w:hint="eastAsia" w:ascii="黑体" w:hAnsi="黑体" w:eastAsia="黑体" w:cs="黑体"/>
          <w:color w:val="000000"/>
          <w:spacing w:val="-10"/>
          <w:kern w:val="2"/>
          <w:sz w:val="32"/>
          <w:szCs w:val="32"/>
          <w:lang w:val="en-US" w:eastAsia="zh-CN" w:bidi="ar-SA"/>
        </w:rPr>
      </w:pPr>
    </w:p>
    <w:p w14:paraId="656538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附录</w:t>
      </w:r>
      <w:r>
        <w:rPr>
          <w:rFonts w:hint="eastAsia" w:ascii="宋体" w:hAnsi="宋体" w:eastAsia="宋体" w:cs="宋体"/>
          <w:color w:val="000000"/>
          <w:sz w:val="21"/>
          <w:szCs w:val="21"/>
          <w:lang w:val="en-US" w:eastAsia="zh-CN"/>
        </w:rPr>
        <w:t>二：</w:t>
      </w:r>
    </w:p>
    <w:p w14:paraId="5F2723AD">
      <w:pPr>
        <w:pStyle w:val="2"/>
        <w:rPr>
          <w:rFonts w:hint="default" w:ascii="黑体" w:hAnsi="黑体" w:eastAsia="黑体" w:cs="黑体"/>
          <w:color w:val="000000"/>
          <w:spacing w:val="-10"/>
          <w:kern w:val="2"/>
          <w:sz w:val="32"/>
          <w:szCs w:val="32"/>
          <w:lang w:val="en-US" w:eastAsia="zh-CN" w:bidi="ar-SA"/>
        </w:rPr>
      </w:pPr>
      <w:r>
        <w:rPr>
          <w:rFonts w:hint="default" w:ascii="黑体" w:hAnsi="黑体" w:eastAsia="黑体" w:cs="黑体"/>
          <w:color w:val="000000"/>
          <w:spacing w:val="-10"/>
          <w:kern w:val="2"/>
          <w:sz w:val="32"/>
          <w:szCs w:val="32"/>
          <w:lang w:val="en-US" w:eastAsia="zh-CN" w:bidi="ar-SA"/>
        </w:rPr>
        <w:drawing>
          <wp:inline distT="0" distB="0" distL="114300" distR="114300">
            <wp:extent cx="5757545" cy="8343900"/>
            <wp:effectExtent l="0" t="0" r="14605" b="0"/>
            <wp:docPr id="3" name="图片 3" descr="e33507b1c79c55ce08c4ab728da670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33507b1c79c55ce08c4ab728da670a7"/>
                    <pic:cNvPicPr>
                      <a:picLocks noChangeAspect="1"/>
                    </pic:cNvPicPr>
                  </pic:nvPicPr>
                  <pic:blipFill>
                    <a:blip r:embed="rId7"/>
                    <a:stretch>
                      <a:fillRect/>
                    </a:stretch>
                  </pic:blipFill>
                  <pic:spPr>
                    <a:xfrm>
                      <a:off x="0" y="0"/>
                      <a:ext cx="5757545" cy="8343900"/>
                    </a:xfrm>
                    <a:prstGeom prst="rect">
                      <a:avLst/>
                    </a:prstGeom>
                  </pic:spPr>
                </pic:pic>
              </a:graphicData>
            </a:graphic>
          </wp:inline>
        </w:drawing>
      </w:r>
    </w:p>
    <w:sectPr>
      <w:footerReference r:id="rId4" w:type="default"/>
      <w:pgSz w:w="11906" w:h="16838"/>
      <w:pgMar w:top="1134" w:right="1417" w:bottom="1134"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87EC9B2-BC19-4A2E-BC7E-6325B3AD34B4}"/>
  </w:font>
  <w:font w:name="黑体">
    <w:panose1 w:val="02010609060101010101"/>
    <w:charset w:val="86"/>
    <w:family w:val="auto"/>
    <w:pitch w:val="default"/>
    <w:sig w:usb0="800002BF" w:usb1="38CF7CFA" w:usb2="00000016" w:usb3="00000000" w:csb0="00040001" w:csb1="00000000"/>
    <w:embedRegular r:id="rId2" w:fontKey="{0757CB0B-8942-4BED-B41D-B6C6C9BF95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3" w:fontKey="{959552F2-E68D-49B8-B4DD-4C772A3ED62F}"/>
  </w:font>
  <w:font w:name="楷体_GB2312">
    <w:panose1 w:val="02010609030101010101"/>
    <w:charset w:val="86"/>
    <w:family w:val="modern"/>
    <w:pitch w:val="default"/>
    <w:sig w:usb0="00000001" w:usb1="080E0000" w:usb2="00000000" w:usb3="00000000" w:csb0="00040000" w:csb1="00000000"/>
    <w:embedRegular r:id="rId4" w:fontKey="{54519838-6A35-4F24-80B9-CD3DFF80B2EB}"/>
  </w:font>
  <w:font w:name="方正仿宋_GB2312">
    <w:altName w:val="仿宋"/>
    <w:panose1 w:val="02000000000000000000"/>
    <w:charset w:val="86"/>
    <w:family w:val="auto"/>
    <w:pitch w:val="default"/>
    <w:sig w:usb0="00000000" w:usb1="00000000" w:usb2="00000000" w:usb3="00000000" w:csb0="00000000" w:csb1="00000000"/>
    <w:embedRegular r:id="rId5" w:fontKey="{5FAC1472-2799-4198-985B-E9ACD0CD09E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96C1A">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F51F59">
                          <w:pPr>
                            <w:pStyle w:val="9"/>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7DF51F59">
                    <w:pPr>
                      <w:pStyle w:val="9"/>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14:paraId="677C246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3FA84">
    <w:pPr>
      <w:pStyle w:val="10"/>
      <w:pBdr>
        <w:bottom w:val="none" w:color="auto" w:sz="0" w:space="1"/>
      </w:pBdr>
      <w:jc w:val="right"/>
      <w:rPr>
        <w:rFonts w:ascii="华文中宋" w:hAnsi="华文中宋" w:eastAsia="华文中宋" w:cs="华文中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B8C6E1"/>
    <w:multiLevelType w:val="singleLevel"/>
    <w:tmpl w:val="28B8C6E1"/>
    <w:lvl w:ilvl="0" w:tentative="0">
      <w:start w:val="1"/>
      <w:numFmt w:val="decimal"/>
      <w:suff w:val="nothing"/>
      <w:lvlText w:val="（%1）"/>
      <w:lvlJc w:val="left"/>
    </w:lvl>
  </w:abstractNum>
  <w:abstractNum w:abstractNumId="1">
    <w:nsid w:val="5CBEBF91"/>
    <w:multiLevelType w:val="singleLevel"/>
    <w:tmpl w:val="5CBEBF9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wMGMyMzYxYjZjOTRmYjk0OTc3NzQ3NjNkNDYyNmQifQ=="/>
  </w:docVars>
  <w:rsids>
    <w:rsidRoot w:val="6F9C53FD"/>
    <w:rsid w:val="00337A96"/>
    <w:rsid w:val="003414CD"/>
    <w:rsid w:val="00562DC2"/>
    <w:rsid w:val="005C7705"/>
    <w:rsid w:val="00647689"/>
    <w:rsid w:val="007A3438"/>
    <w:rsid w:val="00A54B75"/>
    <w:rsid w:val="00A763CB"/>
    <w:rsid w:val="00AA2AE4"/>
    <w:rsid w:val="00C7228D"/>
    <w:rsid w:val="00CA24EC"/>
    <w:rsid w:val="00E231AA"/>
    <w:rsid w:val="00F631D4"/>
    <w:rsid w:val="010666C1"/>
    <w:rsid w:val="01692E7E"/>
    <w:rsid w:val="018A2D98"/>
    <w:rsid w:val="01DA574F"/>
    <w:rsid w:val="02691984"/>
    <w:rsid w:val="027073A3"/>
    <w:rsid w:val="02DA714C"/>
    <w:rsid w:val="02FB6208"/>
    <w:rsid w:val="03082F4B"/>
    <w:rsid w:val="037942DD"/>
    <w:rsid w:val="03914744"/>
    <w:rsid w:val="03F84D6E"/>
    <w:rsid w:val="04E84DE3"/>
    <w:rsid w:val="04F25F86"/>
    <w:rsid w:val="058D598A"/>
    <w:rsid w:val="05F2518F"/>
    <w:rsid w:val="06BE7562"/>
    <w:rsid w:val="085B200E"/>
    <w:rsid w:val="08A61840"/>
    <w:rsid w:val="08B03E69"/>
    <w:rsid w:val="08C2594B"/>
    <w:rsid w:val="09DC25D1"/>
    <w:rsid w:val="0ABF2726"/>
    <w:rsid w:val="0ACB263A"/>
    <w:rsid w:val="0ACC3DF3"/>
    <w:rsid w:val="0BB448AC"/>
    <w:rsid w:val="0C2603C4"/>
    <w:rsid w:val="0C7065C2"/>
    <w:rsid w:val="0C965124"/>
    <w:rsid w:val="0D3478BC"/>
    <w:rsid w:val="0D944A41"/>
    <w:rsid w:val="0D9F3CDC"/>
    <w:rsid w:val="0E6A4ABA"/>
    <w:rsid w:val="0EDA3C39"/>
    <w:rsid w:val="0FA63D9A"/>
    <w:rsid w:val="102A47F5"/>
    <w:rsid w:val="103E2480"/>
    <w:rsid w:val="10C319B6"/>
    <w:rsid w:val="10F468BD"/>
    <w:rsid w:val="114B387C"/>
    <w:rsid w:val="12135469"/>
    <w:rsid w:val="12DB5F87"/>
    <w:rsid w:val="139D4CC1"/>
    <w:rsid w:val="13BA3329"/>
    <w:rsid w:val="13C44F74"/>
    <w:rsid w:val="13C87419"/>
    <w:rsid w:val="13D073EB"/>
    <w:rsid w:val="142E63A6"/>
    <w:rsid w:val="143B3428"/>
    <w:rsid w:val="144F2095"/>
    <w:rsid w:val="145E660C"/>
    <w:rsid w:val="14BA1BCC"/>
    <w:rsid w:val="15194B44"/>
    <w:rsid w:val="1586381E"/>
    <w:rsid w:val="15E11B06"/>
    <w:rsid w:val="16651271"/>
    <w:rsid w:val="16C35E3F"/>
    <w:rsid w:val="170C0F1D"/>
    <w:rsid w:val="18386775"/>
    <w:rsid w:val="18E82455"/>
    <w:rsid w:val="19742C91"/>
    <w:rsid w:val="19B37C4A"/>
    <w:rsid w:val="1A512FD2"/>
    <w:rsid w:val="1A564145"/>
    <w:rsid w:val="1A710F7F"/>
    <w:rsid w:val="1AEB2BD4"/>
    <w:rsid w:val="1B122762"/>
    <w:rsid w:val="1B4F59FE"/>
    <w:rsid w:val="1BA91E00"/>
    <w:rsid w:val="1BF13D7A"/>
    <w:rsid w:val="1C8A5B05"/>
    <w:rsid w:val="1C8E1396"/>
    <w:rsid w:val="1CA60B97"/>
    <w:rsid w:val="1CD001DE"/>
    <w:rsid w:val="1CEA5CCB"/>
    <w:rsid w:val="1D532BBD"/>
    <w:rsid w:val="1DD246B8"/>
    <w:rsid w:val="1E0E0C42"/>
    <w:rsid w:val="1E2F48F4"/>
    <w:rsid w:val="1EBF675C"/>
    <w:rsid w:val="1F2E48AE"/>
    <w:rsid w:val="1F6D61B8"/>
    <w:rsid w:val="1FE52A71"/>
    <w:rsid w:val="20064F82"/>
    <w:rsid w:val="200F4C28"/>
    <w:rsid w:val="212A0175"/>
    <w:rsid w:val="222469CE"/>
    <w:rsid w:val="22543672"/>
    <w:rsid w:val="22572DCE"/>
    <w:rsid w:val="22FD7853"/>
    <w:rsid w:val="231764C6"/>
    <w:rsid w:val="231F5A1C"/>
    <w:rsid w:val="23633B83"/>
    <w:rsid w:val="23912F2D"/>
    <w:rsid w:val="244F2331"/>
    <w:rsid w:val="24A32350"/>
    <w:rsid w:val="24C828EC"/>
    <w:rsid w:val="257969DC"/>
    <w:rsid w:val="27635AC1"/>
    <w:rsid w:val="281706CB"/>
    <w:rsid w:val="29154D6B"/>
    <w:rsid w:val="2A185B4C"/>
    <w:rsid w:val="2A4C2E6E"/>
    <w:rsid w:val="2A6401B8"/>
    <w:rsid w:val="2CCD0BFF"/>
    <w:rsid w:val="2CE808E6"/>
    <w:rsid w:val="2D220F1B"/>
    <w:rsid w:val="2DC74AB3"/>
    <w:rsid w:val="2E444588"/>
    <w:rsid w:val="2E632643"/>
    <w:rsid w:val="2E755089"/>
    <w:rsid w:val="2E8B0409"/>
    <w:rsid w:val="2EEB534C"/>
    <w:rsid w:val="2F2229C6"/>
    <w:rsid w:val="2F2A6E19"/>
    <w:rsid w:val="2FC357E2"/>
    <w:rsid w:val="2FE53B49"/>
    <w:rsid w:val="30577713"/>
    <w:rsid w:val="306C66CE"/>
    <w:rsid w:val="30E94833"/>
    <w:rsid w:val="31356182"/>
    <w:rsid w:val="314D52FE"/>
    <w:rsid w:val="318F4248"/>
    <w:rsid w:val="333F2670"/>
    <w:rsid w:val="33CC5BCC"/>
    <w:rsid w:val="33D77C4D"/>
    <w:rsid w:val="33F22CD8"/>
    <w:rsid w:val="343C6D53"/>
    <w:rsid w:val="344352E2"/>
    <w:rsid w:val="353F3CFB"/>
    <w:rsid w:val="35431C09"/>
    <w:rsid w:val="35AA039A"/>
    <w:rsid w:val="35B53A8A"/>
    <w:rsid w:val="366C1A21"/>
    <w:rsid w:val="36993366"/>
    <w:rsid w:val="371964C5"/>
    <w:rsid w:val="3732525B"/>
    <w:rsid w:val="38A30A45"/>
    <w:rsid w:val="3A4431A3"/>
    <w:rsid w:val="3B027E70"/>
    <w:rsid w:val="3B1D4CFC"/>
    <w:rsid w:val="3BA048D6"/>
    <w:rsid w:val="3C447E49"/>
    <w:rsid w:val="3CA0106C"/>
    <w:rsid w:val="3CAE4B90"/>
    <w:rsid w:val="3CE77152"/>
    <w:rsid w:val="3CFE41B7"/>
    <w:rsid w:val="3DAE75C3"/>
    <w:rsid w:val="3DEF4727"/>
    <w:rsid w:val="3DF8538F"/>
    <w:rsid w:val="3E2D5039"/>
    <w:rsid w:val="3E831D89"/>
    <w:rsid w:val="3EA759E6"/>
    <w:rsid w:val="3EAD7A03"/>
    <w:rsid w:val="3F2F6CF2"/>
    <w:rsid w:val="3F56236D"/>
    <w:rsid w:val="3F9B5FD2"/>
    <w:rsid w:val="401963F7"/>
    <w:rsid w:val="405C20AD"/>
    <w:rsid w:val="41464325"/>
    <w:rsid w:val="419B49AF"/>
    <w:rsid w:val="422C03C8"/>
    <w:rsid w:val="42B357FF"/>
    <w:rsid w:val="431B4D0A"/>
    <w:rsid w:val="44674F92"/>
    <w:rsid w:val="45F96148"/>
    <w:rsid w:val="460F05BB"/>
    <w:rsid w:val="46AD63B2"/>
    <w:rsid w:val="47E02B00"/>
    <w:rsid w:val="497D05E5"/>
    <w:rsid w:val="49E557FE"/>
    <w:rsid w:val="4AFD5D93"/>
    <w:rsid w:val="4B064C63"/>
    <w:rsid w:val="4B991F60"/>
    <w:rsid w:val="4BA803F5"/>
    <w:rsid w:val="4C463387"/>
    <w:rsid w:val="4D647E55"/>
    <w:rsid w:val="4E095C67"/>
    <w:rsid w:val="4EC22B9D"/>
    <w:rsid w:val="4F570023"/>
    <w:rsid w:val="4F5B05E2"/>
    <w:rsid w:val="4F8859D7"/>
    <w:rsid w:val="4FB71B04"/>
    <w:rsid w:val="4FD42BD2"/>
    <w:rsid w:val="4FDC288E"/>
    <w:rsid w:val="50810226"/>
    <w:rsid w:val="50C602E5"/>
    <w:rsid w:val="51172ABB"/>
    <w:rsid w:val="52975286"/>
    <w:rsid w:val="52BB6C5F"/>
    <w:rsid w:val="52C704DA"/>
    <w:rsid w:val="52E442D5"/>
    <w:rsid w:val="53164305"/>
    <w:rsid w:val="533165BD"/>
    <w:rsid w:val="53616404"/>
    <w:rsid w:val="536F4AF9"/>
    <w:rsid w:val="53F00B8B"/>
    <w:rsid w:val="54854A39"/>
    <w:rsid w:val="55682648"/>
    <w:rsid w:val="567A292B"/>
    <w:rsid w:val="56DC20EA"/>
    <w:rsid w:val="570D6EAC"/>
    <w:rsid w:val="57106B6D"/>
    <w:rsid w:val="577B69BD"/>
    <w:rsid w:val="57885AA9"/>
    <w:rsid w:val="57C933B0"/>
    <w:rsid w:val="587C29ED"/>
    <w:rsid w:val="58DF11CE"/>
    <w:rsid w:val="590A41CB"/>
    <w:rsid w:val="59554FEC"/>
    <w:rsid w:val="59613991"/>
    <w:rsid w:val="59D6612D"/>
    <w:rsid w:val="59DD270B"/>
    <w:rsid w:val="5A225816"/>
    <w:rsid w:val="5AE900E2"/>
    <w:rsid w:val="5B991157"/>
    <w:rsid w:val="5C86746A"/>
    <w:rsid w:val="5C997B37"/>
    <w:rsid w:val="5CF35248"/>
    <w:rsid w:val="5EA70098"/>
    <w:rsid w:val="5EF07D4E"/>
    <w:rsid w:val="5F0E5B21"/>
    <w:rsid w:val="5F14509D"/>
    <w:rsid w:val="5FC302DD"/>
    <w:rsid w:val="5FD50C35"/>
    <w:rsid w:val="5FDE252B"/>
    <w:rsid w:val="606E3563"/>
    <w:rsid w:val="614E0FA6"/>
    <w:rsid w:val="61AE798F"/>
    <w:rsid w:val="61F84706"/>
    <w:rsid w:val="620E444C"/>
    <w:rsid w:val="62C778F2"/>
    <w:rsid w:val="63332C29"/>
    <w:rsid w:val="64181C68"/>
    <w:rsid w:val="64634A61"/>
    <w:rsid w:val="64BB11D8"/>
    <w:rsid w:val="65157480"/>
    <w:rsid w:val="65646A63"/>
    <w:rsid w:val="656C4871"/>
    <w:rsid w:val="65800DDE"/>
    <w:rsid w:val="65F206BB"/>
    <w:rsid w:val="66286216"/>
    <w:rsid w:val="666F6CF9"/>
    <w:rsid w:val="66C81697"/>
    <w:rsid w:val="67000E7B"/>
    <w:rsid w:val="671A4217"/>
    <w:rsid w:val="68A5389A"/>
    <w:rsid w:val="68ED6339"/>
    <w:rsid w:val="696B6D8B"/>
    <w:rsid w:val="6A182389"/>
    <w:rsid w:val="6A9A5C4E"/>
    <w:rsid w:val="6AA14535"/>
    <w:rsid w:val="6AB2229E"/>
    <w:rsid w:val="6B2807B2"/>
    <w:rsid w:val="6B5E239D"/>
    <w:rsid w:val="6BF72C11"/>
    <w:rsid w:val="6C0854F6"/>
    <w:rsid w:val="6C607508"/>
    <w:rsid w:val="6E120F37"/>
    <w:rsid w:val="6EC523F2"/>
    <w:rsid w:val="6F002518"/>
    <w:rsid w:val="6F9635F5"/>
    <w:rsid w:val="6F9C53FD"/>
    <w:rsid w:val="7045748D"/>
    <w:rsid w:val="70482980"/>
    <w:rsid w:val="70531426"/>
    <w:rsid w:val="70E428E9"/>
    <w:rsid w:val="70EE183B"/>
    <w:rsid w:val="712566B3"/>
    <w:rsid w:val="71C07997"/>
    <w:rsid w:val="71FB452B"/>
    <w:rsid w:val="72E66F89"/>
    <w:rsid w:val="740873D3"/>
    <w:rsid w:val="744063D9"/>
    <w:rsid w:val="74B85DE0"/>
    <w:rsid w:val="74BD3DC0"/>
    <w:rsid w:val="751F3BB3"/>
    <w:rsid w:val="758B100A"/>
    <w:rsid w:val="75951E05"/>
    <w:rsid w:val="76585CC1"/>
    <w:rsid w:val="76C04D68"/>
    <w:rsid w:val="77CA50CB"/>
    <w:rsid w:val="78643BCB"/>
    <w:rsid w:val="78AE45CD"/>
    <w:rsid w:val="78AE49E2"/>
    <w:rsid w:val="78F513FC"/>
    <w:rsid w:val="7A347F71"/>
    <w:rsid w:val="7AF144E1"/>
    <w:rsid w:val="7C7862D5"/>
    <w:rsid w:val="7CA51C63"/>
    <w:rsid w:val="7CAF4890"/>
    <w:rsid w:val="7D3E5C13"/>
    <w:rsid w:val="7D7D4807"/>
    <w:rsid w:val="7E1B6D74"/>
    <w:rsid w:val="7EAD63D7"/>
    <w:rsid w:val="7F0318BE"/>
    <w:rsid w:val="7F243BE2"/>
    <w:rsid w:val="7F270367"/>
    <w:rsid w:val="7F312678"/>
    <w:rsid w:val="7F833DB1"/>
    <w:rsid w:val="7FB93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napToGrid w:val="0"/>
      <w:spacing w:before="50" w:beforeLines="50" w:after="50" w:afterLines="50" w:line="340" w:lineRule="exact"/>
      <w:ind w:firstLine="480" w:firstLineChars="200"/>
      <w:jc w:val="left"/>
      <w:outlineLvl w:val="0"/>
    </w:pPr>
    <w:rPr>
      <w:rFonts w:hint="eastAsia" w:ascii="宋体" w:hAnsi="宋体"/>
      <w:b/>
      <w:kern w:val="44"/>
      <w:sz w:val="30"/>
      <w:szCs w:val="48"/>
    </w:rPr>
  </w:style>
  <w:style w:type="paragraph" w:styleId="4">
    <w:name w:val="heading 2"/>
    <w:basedOn w:val="1"/>
    <w:next w:val="1"/>
    <w:unhideWhenUsed/>
    <w:qFormat/>
    <w:uiPriority w:val="0"/>
    <w:pPr>
      <w:keepNext/>
      <w:keepLines/>
      <w:spacing w:before="50" w:beforeLines="50" w:after="50" w:afterLines="50" w:line="340" w:lineRule="exact"/>
      <w:outlineLvl w:val="1"/>
    </w:pPr>
    <w:rPr>
      <w:rFonts w:ascii="Arial" w:hAnsi="Arial"/>
      <w:b/>
      <w:sz w:val="28"/>
      <w:szCs w:val="28"/>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line="340" w:lineRule="exact"/>
      <w:outlineLvl w:val="3"/>
    </w:pPr>
    <w:rPr>
      <w:rFonts w:ascii="Arial" w:hAnsi="Arial"/>
      <w:b/>
      <w:color w:val="548DD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annotation text"/>
    <w:basedOn w:val="1"/>
    <w:link w:val="22"/>
    <w:qFormat/>
    <w:uiPriority w:val="0"/>
    <w:pPr>
      <w:jc w:val="left"/>
    </w:pPr>
  </w:style>
  <w:style w:type="paragraph" w:styleId="8">
    <w:name w:val="Balloon Text"/>
    <w:basedOn w:val="1"/>
    <w:link w:val="24"/>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rPr>
  </w:style>
  <w:style w:type="paragraph" w:styleId="12">
    <w:name w:val="annotation subject"/>
    <w:basedOn w:val="7"/>
    <w:next w:val="7"/>
    <w:link w:val="23"/>
    <w:qFormat/>
    <w:uiPriority w:val="0"/>
    <w:rPr>
      <w:b/>
      <w:bCs/>
    </w:rPr>
  </w:style>
  <w:style w:type="paragraph" w:styleId="13">
    <w:name w:val="Body Text First Indent"/>
    <w:basedOn w:val="2"/>
    <w:qFormat/>
    <w:uiPriority w:val="99"/>
    <w:pPr>
      <w:spacing w:after="0" w:line="360" w:lineRule="auto"/>
      <w:ind w:firstLine="420" w:firstLineChars="100"/>
    </w:pPr>
    <w:rPr>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99"/>
    <w:rPr>
      <w:rFonts w:cs="Times New Roman"/>
      <w:sz w:val="21"/>
      <w:szCs w:val="21"/>
    </w:rPr>
  </w:style>
  <w:style w:type="table" w:customStyle="1" w:styleId="1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9">
    <w:name w:val="列出段落1"/>
    <w:basedOn w:val="1"/>
    <w:qFormat/>
    <w:uiPriority w:val="0"/>
    <w:pPr>
      <w:widowControl/>
      <w:ind w:firstLine="420" w:firstLineChars="200"/>
      <w:jc w:val="left"/>
    </w:pPr>
    <w:rPr>
      <w:rFonts w:ascii="宋体" w:hAnsi="宋体" w:cs="宋体"/>
      <w:kern w:val="0"/>
      <w:sz w:val="24"/>
    </w:rPr>
  </w:style>
  <w:style w:type="paragraph" w:customStyle="1" w:styleId="20">
    <w:name w:val="Table Text"/>
    <w:basedOn w:val="1"/>
    <w:qFormat/>
    <w:uiPriority w:val="0"/>
    <w:rPr>
      <w:rFonts w:ascii="Arial" w:hAnsi="Arial" w:eastAsia="Arial" w:cs="Arial"/>
      <w:sz w:val="18"/>
      <w:szCs w:val="18"/>
      <w:lang w:eastAsia="en-US"/>
    </w:rPr>
  </w:style>
  <w:style w:type="paragraph" w:customStyle="1" w:styleId="21">
    <w:name w:val="样式1"/>
    <w:basedOn w:val="1"/>
    <w:qFormat/>
    <w:uiPriority w:val="0"/>
    <w:rPr>
      <w:sz w:val="32"/>
      <w:szCs w:val="32"/>
    </w:rPr>
  </w:style>
  <w:style w:type="character" w:customStyle="1" w:styleId="22">
    <w:name w:val="批注文字 字符"/>
    <w:basedOn w:val="16"/>
    <w:link w:val="7"/>
    <w:qFormat/>
    <w:uiPriority w:val="0"/>
    <w:rPr>
      <w:kern w:val="2"/>
      <w:sz w:val="21"/>
      <w:szCs w:val="24"/>
    </w:rPr>
  </w:style>
  <w:style w:type="character" w:customStyle="1" w:styleId="23">
    <w:name w:val="批注主题 字符"/>
    <w:basedOn w:val="22"/>
    <w:link w:val="12"/>
    <w:qFormat/>
    <w:uiPriority w:val="0"/>
    <w:rPr>
      <w:b/>
      <w:bCs/>
      <w:kern w:val="2"/>
      <w:sz w:val="21"/>
      <w:szCs w:val="24"/>
    </w:rPr>
  </w:style>
  <w:style w:type="character" w:customStyle="1" w:styleId="24">
    <w:name w:val="批注框文本 字符"/>
    <w:basedOn w:val="16"/>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2151</Words>
  <Characters>2194</Characters>
  <Lines>2662</Lines>
  <Paragraphs>2332</Paragraphs>
  <TotalTime>7</TotalTime>
  <ScaleCrop>false</ScaleCrop>
  <LinksUpToDate>false</LinksUpToDate>
  <CharactersWithSpaces>2331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2024-04-12T08:59:00Z</dcterms:created>
  <dc:creator>性情中人</dc:creator>
  <cp:lastModifiedBy>尚举</cp:lastModifiedBy>
  <dcterms:modified xsi:type="dcterms:W3CDTF">2025-09-18T13:43:19Z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57982028FC214C068255FA3E0BEE1D52_13</vt:lpwstr>
  </property>
  <property fmtid="{D5CDD505-2E9C-101B-9397-08002B2CF9AE}" pid="4" name="KSOTemplateDocerSaveRecord">
    <vt:lpwstr>eyJoZGlkIjoiZWI1ODQyY2I0YmYwNTRkZTk3ZjdmN2M0NDBjOTdjNjciLCJ1c2VySWQiOiIzMzA3MjYzMDAifQ==</vt:lpwstr>
  </property>
</Properties>
</file>