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eastAsia="方正小标宋简体"/>
          <w:sz w:val="32"/>
          <w:szCs w:val="32"/>
          <w:u w:val="none"/>
          <w:lang w:val="en-US" w:eastAsia="zh-CN"/>
        </w:rPr>
      </w:pPr>
      <w:r>
        <w:rPr>
          <w:rFonts w:hint="eastAsia" w:ascii="方正小标宋简体" w:eastAsia="方正小标宋简体"/>
          <w:sz w:val="32"/>
          <w:szCs w:val="32"/>
          <w:u w:val="none"/>
          <w:lang w:val="en-US" w:eastAsia="zh-CN"/>
        </w:rPr>
        <w:t>《形势与政策》课程标准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一、课程基本信息</w:t>
      </w:r>
    </w:p>
    <w:tbl>
      <w:tblPr>
        <w:tblStyle w:val="7"/>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830"/>
        <w:gridCol w:w="701"/>
        <w:gridCol w:w="1000"/>
        <w:gridCol w:w="729"/>
        <w:gridCol w:w="1276"/>
        <w:gridCol w:w="125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课程名称</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Situation and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课程代码</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060017</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课程性质</w:t>
            </w:r>
          </w:p>
        </w:tc>
        <w:tc>
          <w:tcPr>
            <w:tcW w:w="25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公共必修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开课院部</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思政部</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课程负责人</w:t>
            </w:r>
          </w:p>
        </w:tc>
        <w:tc>
          <w:tcPr>
            <w:tcW w:w="25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课程团队</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授课学期</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1-6学期</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学分/学时</w:t>
            </w:r>
          </w:p>
        </w:tc>
        <w:tc>
          <w:tcPr>
            <w:tcW w:w="25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课内学时</w:t>
            </w:r>
          </w:p>
        </w:tc>
        <w:tc>
          <w:tcPr>
            <w:tcW w:w="83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8</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理论学时</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8</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实验学时</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实训</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（含上机）</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83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实习</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其他</w:t>
            </w:r>
          </w:p>
        </w:tc>
        <w:tc>
          <w:tcPr>
            <w:tcW w:w="38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适用专业</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全校各专业专科生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授课语言</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中文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对先修的要求</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思想道德与法治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对后续的支撑</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马克思主义基本原理、毛泽东思想和中国特色社会主义理论体系概论、习近平新时代中国特色社会主义思想概论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课程思政设计</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本课程即为高校思想政治理论课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创新创业教育设计</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分析我国经济社会发展形势与政策、国际社会形势。引导学生准确理解党的基本理论、基本路线和基本方略，正确评价党和国家创新创业的方针政策，正确认识中国和世界发展大势，正确分析国内、国际的创新创业形势和发展趋势，确立科学的职业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课程简介</w:t>
            </w:r>
          </w:p>
        </w:tc>
        <w:tc>
          <w:tcPr>
            <w:tcW w:w="7065"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形势与政策”课作为新时代思政课主干课程之一，最根本的教育思想就是：用习近平新时代中国特色社会主义思想铸魂育人、立德树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坚持以学生为中心的教学理念，通过根据不同教学内容灵活采用互动教学、启发教学、探究教学、体验教学、专题教学、案例教学、研读教学、分众教学、对分教学等不同教学原则的“术”对“以学生为中心”这个“道”进行贯彻落实。</w:t>
            </w:r>
          </w:p>
        </w:tc>
      </w:tr>
    </w:tbl>
    <w:p>
      <w:pPr>
        <w:widowControl/>
        <w:jc w:val="left"/>
        <w:rPr>
          <w:rFonts w:ascii="黑体" w:hAnsi="黑体" w:eastAsia="黑体"/>
          <w:sz w:val="24"/>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二、课程目标及对毕业要求指标点的支撑</w:t>
      </w:r>
    </w:p>
    <w:tbl>
      <w:tblPr>
        <w:tblStyle w:val="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794"/>
        <w:gridCol w:w="280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序号</w:t>
            </w:r>
          </w:p>
        </w:tc>
        <w:tc>
          <w:tcPr>
            <w:tcW w:w="2794"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课程目标</w:t>
            </w:r>
          </w:p>
        </w:tc>
        <w:tc>
          <w:tcPr>
            <w:tcW w:w="2808"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支撑毕业要求指标点</w:t>
            </w:r>
          </w:p>
        </w:tc>
        <w:tc>
          <w:tcPr>
            <w:tcW w:w="2028"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27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1：准确理解党的基本理论、基本路线和基本方略，正确认识世界和中国发展大势，正确认识中国特色和国际比较，正确认识时代责任和历史使命，正确认识远大抱负和脚踏实地，牢固树立“四个意识”，坚定“四个自信”，坚决做到“两个维护”。有正确价值观，理解个人与社会的关系，了解中国国情。</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20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及时、准确、深入学习习近平新时代中国特色社会主义思想，学习党中央大政方针，深入学习习近平新时代坚持和发展中国特色社会主义的生动实践；深刻认识我国经济建设、政治建设、文化建设、社会建设、生态文明建设的重大部署，深刻领会十八大以来党和国家事业取得的历史性成就、发生的历史性变革、面临的历史性机遇和挑战；准确理解党的基本理论、基本路线、基本方略，增强政治意识，把握政治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w:t>
            </w:r>
          </w:p>
        </w:tc>
        <w:tc>
          <w:tcPr>
            <w:tcW w:w="27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2：正确运用形势与政策分析方法，运用习近平新时代中国特色社会主义思想分析国内形势。分析热点、难点问题的成因、趋势。运用人类命运共同体理念分析国际局势及地区热点问题，分析地区局势和国际关系的发展趋势。正确评价国内外重大时事、党和国家的方针政策，正确评价社会重要问题、热点问题，正确评价世界重大事件、地区热点问题，准确判断舆论中形势与政策观点的是非对错。</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20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正确分析国内形势、国际局势及地区热点问题，正确评价国内外重大时事、党和国家的方针政策、社会重要问题、热点问题，正确评价世界重大事件、地区热点问题，准确判断舆论中形势与政策观点的是非对错。在改革开放和全球化环境中具有坚定的政治立场和分析辨别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bl>
    <w:p>
      <w:pPr>
        <w:spacing w:line="320" w:lineRule="exact"/>
        <w:rPr>
          <w:rFonts w:ascii="等线" w:hAnsi="等线" w:eastAsia="等线"/>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三、教学内容及进度安排</w:t>
      </w:r>
    </w:p>
    <w:tbl>
      <w:tblPr>
        <w:tblStyle w:val="7"/>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82"/>
        <w:gridCol w:w="1920"/>
        <w:gridCol w:w="780"/>
        <w:gridCol w:w="672"/>
        <w:gridCol w:w="927"/>
        <w:gridCol w:w="682"/>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8" w:type="dxa"/>
            <w:vMerge w:val="restart"/>
            <w:tcBorders>
              <w:top w:val="single" w:color="auto" w:sz="4" w:space="0"/>
              <w:left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序号</w:t>
            </w:r>
          </w:p>
        </w:tc>
        <w:tc>
          <w:tcPr>
            <w:tcW w:w="2182" w:type="dxa"/>
            <w:vMerge w:val="restart"/>
            <w:tcBorders>
              <w:top w:val="single" w:color="auto" w:sz="4" w:space="0"/>
              <w:left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教学内容</w:t>
            </w:r>
          </w:p>
        </w:tc>
        <w:tc>
          <w:tcPr>
            <w:tcW w:w="1920" w:type="dxa"/>
            <w:vMerge w:val="restart"/>
            <w:tcBorders>
              <w:top w:val="single" w:color="auto" w:sz="4" w:space="0"/>
              <w:left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学生学习</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预期成果</w:t>
            </w:r>
          </w:p>
        </w:tc>
        <w:tc>
          <w:tcPr>
            <w:tcW w:w="1452" w:type="dxa"/>
            <w:gridSpan w:val="2"/>
            <w:tcBorders>
              <w:top w:val="single" w:color="auto" w:sz="4" w:space="0"/>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课内学时/课外学时</w:t>
            </w:r>
          </w:p>
        </w:tc>
        <w:tc>
          <w:tcPr>
            <w:tcW w:w="1609" w:type="dxa"/>
            <w:gridSpan w:val="2"/>
            <w:tcBorders>
              <w:top w:val="single" w:color="auto" w:sz="4" w:space="0"/>
              <w:left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教学方式</w:t>
            </w:r>
          </w:p>
        </w:tc>
        <w:tc>
          <w:tcPr>
            <w:tcW w:w="829" w:type="dxa"/>
            <w:vMerge w:val="restart"/>
            <w:tcBorders>
              <w:top w:val="single" w:color="auto" w:sz="4" w:space="0"/>
              <w:left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8" w:type="dxa"/>
            <w:vMerge w:val="continue"/>
            <w:tcBorders>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2182" w:type="dxa"/>
            <w:vMerge w:val="continue"/>
            <w:tcBorders>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1920" w:type="dxa"/>
            <w:vMerge w:val="continue"/>
            <w:tcBorders>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1-7学期</w:t>
            </w:r>
          </w:p>
        </w:tc>
        <w:tc>
          <w:tcPr>
            <w:tcW w:w="672"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第8学期</w:t>
            </w:r>
          </w:p>
        </w:tc>
        <w:tc>
          <w:tcPr>
            <w:tcW w:w="927" w:type="dxa"/>
            <w:tcBorders>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1-7学期</w:t>
            </w:r>
          </w:p>
        </w:tc>
        <w:tc>
          <w:tcPr>
            <w:tcW w:w="682" w:type="dxa"/>
            <w:tcBorders>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第8学期</w:t>
            </w:r>
          </w:p>
        </w:tc>
        <w:tc>
          <w:tcPr>
            <w:tcW w:w="829" w:type="dxa"/>
            <w:vMerge w:val="continue"/>
            <w:tcBorders>
              <w:left w:val="single" w:color="auto" w:sz="4" w:space="0"/>
              <w:bottom w:val="single" w:color="auto" w:sz="4" w:space="0"/>
              <w:right w:val="single" w:color="auto" w:sz="4" w:space="0"/>
            </w:tcBorders>
            <w:shd w:val="clear" w:color="auto" w:fill="E7E6E6"/>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全面从严治党形势与政策</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重点：党的政治建设、思想建设、组织建设、作风建设、纪律建设以及贯穿其中的制度建设的新举措新成效</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准确理解党的基本理论、基本路线和基本方略，正确评价党和国家的方针政策（含创新创业方针政策）。</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w:t>
            </w:r>
          </w:p>
        </w:tc>
        <w:tc>
          <w:tcPr>
            <w:tcW w:w="6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0/8</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9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线下授课＋线上辅导＋专家讲座（根据不同教学内容灵活采用互动教学、启发教学、探究教学、体验教学、专题教学、案例教学、研读教学、分众教学、对分教学等）</w:t>
            </w:r>
          </w:p>
        </w:tc>
        <w:tc>
          <w:tcPr>
            <w:tcW w:w="68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社会调研</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目标1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目标2</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我国经济社会发展形势与政策（含创新创业）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重点：党中央关于经济建设、政治建设、文化建设、社会建设、生态文明建设的新决策新部署</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正确认识中国发展大势，运用习近平新时代中国特色社会主义思想分析国内形势。</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w:t>
            </w:r>
          </w:p>
        </w:tc>
        <w:tc>
          <w:tcPr>
            <w:tcW w:w="67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92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6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目标1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目标2</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港澳台工作形势与政策</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重点：坚持“一国两制”、推进祖国统一的新进展新局面</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了解地区热点问题，分析其成因，判断地区局势的走向，正确评价地区热点问题。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w:t>
            </w:r>
          </w:p>
        </w:tc>
        <w:tc>
          <w:tcPr>
            <w:tcW w:w="67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92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6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目标1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目标2</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国际形势与政策</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重点：中国坚持和平发展道路、推动构建人类命运共同体的新理念新贡献</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正确认识世界发展大势，运用人类命运共同体理念分析国际局势，分析国际关系的发展趋势（含创新创业形势和发展趋势）。</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w:t>
            </w:r>
          </w:p>
        </w:tc>
        <w:tc>
          <w:tcPr>
            <w:tcW w:w="6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9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68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目标1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目标2</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（说明：1.需注明融入了哪些思政元素、如何融入；2.需注明包含了哪些创新创业教育内容，如何与专业教育相结合。）</w:t>
      </w:r>
    </w:p>
    <w:p>
      <w:pPr>
        <w:spacing w:line="320" w:lineRule="exact"/>
        <w:rPr>
          <w:rFonts w:cs="宋体"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四、课程考核</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147"/>
        <w:gridCol w:w="1272"/>
        <w:gridCol w:w="8"/>
        <w:gridCol w:w="116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6" w:type="dxa"/>
            <w:vMerge w:val="restart"/>
            <w:tcBorders>
              <w:top w:val="single" w:color="auto" w:sz="4" w:space="0"/>
              <w:left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序号</w:t>
            </w:r>
          </w:p>
        </w:tc>
        <w:tc>
          <w:tcPr>
            <w:tcW w:w="4291" w:type="dxa"/>
            <w:vMerge w:val="restart"/>
            <w:tcBorders>
              <w:top w:val="single" w:color="auto" w:sz="4" w:space="0"/>
              <w:left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课程目标（支撑毕业要求指标点）</w:t>
            </w:r>
          </w:p>
        </w:tc>
        <w:tc>
          <w:tcPr>
            <w:tcW w:w="2469" w:type="dxa"/>
            <w:gridSpan w:val="3"/>
            <w:tcBorders>
              <w:top w:val="single" w:color="auto" w:sz="4" w:space="0"/>
              <w:left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评价依据</w:t>
            </w:r>
          </w:p>
        </w:tc>
        <w:tc>
          <w:tcPr>
            <w:tcW w:w="1399" w:type="dxa"/>
            <w:vMerge w:val="restart"/>
            <w:tcBorders>
              <w:top w:val="single" w:color="auto" w:sz="4" w:space="0"/>
              <w:left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6" w:type="dxa"/>
            <w:vMerge w:val="continue"/>
            <w:tcBorders>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4291" w:type="dxa"/>
            <w:vMerge w:val="continue"/>
            <w:tcBorders>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1297" w:type="dxa"/>
            <w:gridSpan w:val="2"/>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平时表现</w:t>
            </w:r>
          </w:p>
        </w:tc>
        <w:tc>
          <w:tcPr>
            <w:tcW w:w="1172"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期末论文</w:t>
            </w:r>
          </w:p>
        </w:tc>
        <w:tc>
          <w:tcPr>
            <w:tcW w:w="1399" w:type="dxa"/>
            <w:vMerge w:val="continue"/>
            <w:tcBorders>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4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1：准确理解党的基本理论、基本路线和基本方略，正确认识世界和中国发展大势，正确认识中国特色和国际比较，正确认识时代责任和历史使命，正确认识远大抱负和脚踏实地，牢固树立“四个意识”，坚定“四个自信”，坚决做到“两个维护”。有正确价值观，理解个人与社会的关系，了解中国国情。</w:t>
            </w:r>
          </w:p>
        </w:tc>
        <w:tc>
          <w:tcPr>
            <w:tcW w:w="12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60（线上学习表现分加线下课堂表现分）</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w:t>
            </w:r>
          </w:p>
        </w:tc>
        <w:tc>
          <w:tcPr>
            <w:tcW w:w="4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2：正确运用形势与政策分析方法，运用习近平新时代中国特色社会主义思想分析国内形势。分析热点、难点问题的成因、趋势。运用人类命运共同体理念分析国际局势及地区热点问题，分析地区局势和国际关系的发展趋势。正确评价国内外重大时事、党和国家的方针政策，正确评价社会重要问题、热点问题，正确评价世界重大事件、地区热点问题，准确判断舆论中形势与政策观点的是非对错。</w:t>
            </w:r>
          </w:p>
        </w:tc>
        <w:tc>
          <w:tcPr>
            <w:tcW w:w="12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40</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9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合计</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60</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40</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注：各类考核评价的具体评分标准见《附录：各类考核评分标准表》</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说明：1.总成绩构成为：平时成绩占比60%（签到10%，线上线下课堂互动过程（抢答讨论随堂练习等）50%，观看教学音视频30%，分组任务、章节学习次数和阅读材料10%），期末小论文考核占40%。；2.各考核方式逐一填写评分标准表）</w:t>
      </w:r>
    </w:p>
    <w:p>
      <w:pPr>
        <w:spacing w:line="320" w:lineRule="exact"/>
        <w:jc w:val="left"/>
        <w:rPr>
          <w:rFonts w:asciiTheme="minorEastAsia" w:hAnsiTheme="minorEastAsia" w:eastAsiaTheme="minorEastAsia"/>
          <w:color w:val="00B050"/>
        </w:rPr>
      </w:pPr>
    </w:p>
    <w:p>
      <w:pPr>
        <w:spacing w:line="320" w:lineRule="exact"/>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五、教材及参考资料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(必含信息：教材名称，作者，出版社，出版年度，版次，书号)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1.教材：《时事报告大学生版》（高校“形势与政策”课专用），中共中央宣传部时事报告杂志社。</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2.参考资料：《习近平谈治国理政》《新华文摘》《求是》《半月谈》“学习强国”学习平台等。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（除教材外，还可以新增加一些学习的参考资料，可以提供一些学习参考网址之类的；可以进一步细化，比如：参考材料的哪些章节是支撑大纲中哪部分的学习或训练的）</w:t>
      </w:r>
    </w:p>
    <w:p>
      <w:pPr>
        <w:spacing w:line="320" w:lineRule="exact"/>
        <w:rPr>
          <w:rFonts w:asciiTheme="minorEastAsia" w:hAnsiTheme="minorEastAsia" w:eastAsiaTheme="minorEastAsia"/>
          <w:color w:val="00B050"/>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六、教学条件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中国大学慕课、超星学习通等线上教学手段</w:t>
      </w:r>
    </w:p>
    <w:p>
      <w:pPr>
        <w:widowControl/>
        <w:snapToGrid w:val="0"/>
        <w:spacing w:line="360" w:lineRule="auto"/>
        <w:jc w:val="left"/>
        <w:rPr>
          <w:rFonts w:ascii="黑体" w:hAnsi="黑体" w:eastAsia="黑体"/>
          <w:sz w:val="24"/>
        </w:rPr>
      </w:pPr>
    </w:p>
    <w:p>
      <w:pPr>
        <w:widowControl/>
        <w:snapToGrid w:val="0"/>
        <w:spacing w:line="360" w:lineRule="auto"/>
        <w:ind w:firstLine="3600" w:firstLineChars="1500"/>
        <w:jc w:val="left"/>
        <w:rPr>
          <w:rFonts w:ascii="黑体" w:hAnsi="黑体" w:eastAsia="黑体"/>
          <w:sz w:val="24"/>
        </w:rPr>
      </w:pPr>
    </w:p>
    <w:p>
      <w:pPr>
        <w:spacing w:line="320" w:lineRule="exact"/>
        <w:jc w:val="left"/>
        <w:rPr>
          <w:rFonts w:hint="eastAsia" w:ascii="黑体" w:hAnsi="黑体" w:eastAsia="黑体"/>
          <w:sz w:val="24"/>
        </w:rPr>
      </w:pPr>
      <w:r>
        <w:rPr>
          <w:rFonts w:hint="eastAsia" w:ascii="黑体" w:hAnsi="黑体" w:eastAsia="黑体"/>
          <w:sz w:val="24"/>
        </w:rPr>
        <w:t>附录：各类考核评分标准表</w:t>
      </w:r>
    </w:p>
    <w:p>
      <w:pPr>
        <w:spacing w:line="320" w:lineRule="exact"/>
        <w:jc w:val="left"/>
        <w:rPr>
          <w:rFonts w:hint="eastAsia" w:ascii="黑体" w:hAnsi="黑体" w:eastAsia="黑体"/>
          <w:sz w:val="24"/>
        </w:rPr>
      </w:pPr>
    </w:p>
    <w:p>
      <w:pPr>
        <w:widowControl/>
        <w:snapToGrid w:val="0"/>
        <w:spacing w:before="156" w:beforeLines="50" w:after="156" w:afterLines="50"/>
        <w:jc w:val="center"/>
        <w:rPr>
          <w:rFonts w:hint="eastAsia" w:ascii="黑体" w:hAnsi="黑体" w:eastAsia="黑体" w:cs="Times New Roman"/>
          <w:szCs w:val="21"/>
        </w:rPr>
      </w:pPr>
      <w:r>
        <w:rPr>
          <w:rFonts w:hint="eastAsia" w:ascii="黑体" w:hAnsi="黑体" w:eastAsia="黑体" w:cs="Times New Roman"/>
          <w:szCs w:val="21"/>
          <w:lang w:val="en-US" w:eastAsia="zh-CN"/>
        </w:rPr>
        <w:t>平时表现</w:t>
      </w:r>
      <w:r>
        <w:rPr>
          <w:rFonts w:hint="eastAsia" w:ascii="黑体" w:hAnsi="黑体" w:eastAsia="黑体" w:cs="Times New Roman"/>
          <w:szCs w:val="21"/>
        </w:rPr>
        <w:t>评分标准</w:t>
      </w:r>
    </w:p>
    <w:tbl>
      <w:tblPr>
        <w:tblStyle w:val="7"/>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1588"/>
        <w:gridCol w:w="1586"/>
        <w:gridCol w:w="1586"/>
        <w:gridCol w:w="158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973" w:type="dxa"/>
            <w:vMerge w:val="restart"/>
            <w:tcBorders>
              <w:top w:val="single" w:color="auto" w:sz="4" w:space="0"/>
              <w:left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教学目标要求</w:t>
            </w:r>
          </w:p>
        </w:tc>
        <w:tc>
          <w:tcPr>
            <w:tcW w:w="6379"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评分标准</w:t>
            </w:r>
          </w:p>
        </w:tc>
        <w:tc>
          <w:tcPr>
            <w:tcW w:w="788" w:type="dxa"/>
            <w:vMerge w:val="restart"/>
            <w:tcBorders>
              <w:top w:val="single" w:color="auto" w:sz="4" w:space="0"/>
              <w:left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73" w:type="dxa"/>
            <w:vMerge w:val="continue"/>
            <w:tcBorders>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1594"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90-100</w:t>
            </w:r>
          </w:p>
        </w:tc>
        <w:tc>
          <w:tcPr>
            <w:tcW w:w="159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80-89</w:t>
            </w:r>
          </w:p>
        </w:tc>
        <w:tc>
          <w:tcPr>
            <w:tcW w:w="159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60-79</w:t>
            </w:r>
          </w:p>
        </w:tc>
        <w:tc>
          <w:tcPr>
            <w:tcW w:w="159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0-59</w:t>
            </w:r>
          </w:p>
        </w:tc>
        <w:tc>
          <w:tcPr>
            <w:tcW w:w="788" w:type="dxa"/>
            <w:vMerge w:val="continue"/>
            <w:tcBorders>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1：准确理解党的基本理论、基本路线和基本方略，正确认识世界和中国发展大势，正确认识中国特色和国际比较，正确认识时代责任和历史使命，正确认识远大抱负和脚踏实地，牢固树立“四个意识”，坚定“四个自信”，坚决做到“两个维护”。有正确价值观，理解个人与社会的关系，了解中国国情。</w:t>
            </w: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积极参与课堂</w:t>
            </w:r>
            <w:r>
              <w:rPr>
                <w:rFonts w:hint="default" w:ascii="仿宋_GB2312" w:hAnsi="仿宋_GB2312" w:eastAsia="仿宋_GB2312" w:cs="仿宋_GB2312"/>
                <w:sz w:val="24"/>
                <w:szCs w:val="24"/>
                <w:u w:val="none"/>
                <w:lang w:val="en-US" w:eastAsia="zh-CN"/>
              </w:rPr>
              <w:t>线下</w:t>
            </w:r>
            <w:r>
              <w:rPr>
                <w:rFonts w:hint="eastAsia" w:ascii="仿宋_GB2312" w:hAnsi="仿宋_GB2312" w:eastAsia="仿宋_GB2312" w:cs="仿宋_GB2312"/>
                <w:sz w:val="24"/>
                <w:szCs w:val="24"/>
                <w:u w:val="none"/>
                <w:lang w:val="en-US" w:eastAsia="zh-CN"/>
              </w:rPr>
              <w:t>教学和小组合作探究学习，在课堂上代表小组展示或进行时事开讲，在学习通上完成观看课程视频、查看课件、阅读资料、完成作业和参与讨论</w:t>
            </w:r>
            <w:r>
              <w:rPr>
                <w:rFonts w:hint="default" w:ascii="仿宋_GB2312" w:hAnsi="仿宋_GB2312" w:eastAsia="仿宋_GB2312" w:cs="仿宋_GB2312"/>
                <w:sz w:val="24"/>
                <w:szCs w:val="24"/>
                <w:u w:val="none"/>
                <w:lang w:val="en-US" w:eastAsia="zh-CN"/>
              </w:rPr>
              <w:t>等学习任务</w:t>
            </w:r>
            <w:r>
              <w:rPr>
                <w:rFonts w:hint="eastAsia" w:ascii="仿宋_GB2312" w:hAnsi="仿宋_GB2312" w:eastAsia="仿宋_GB2312" w:cs="仿宋_GB2312"/>
                <w:sz w:val="24"/>
                <w:szCs w:val="24"/>
                <w:u w:val="none"/>
                <w:lang w:val="en-US" w:eastAsia="zh-CN"/>
              </w:rPr>
              <w:t>。</w:t>
            </w:r>
          </w:p>
        </w:tc>
        <w:tc>
          <w:tcPr>
            <w:tcW w:w="15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积极参与课堂</w:t>
            </w:r>
            <w:r>
              <w:rPr>
                <w:rFonts w:hint="default" w:ascii="仿宋_GB2312" w:hAnsi="仿宋_GB2312" w:eastAsia="仿宋_GB2312" w:cs="仿宋_GB2312"/>
                <w:sz w:val="24"/>
                <w:szCs w:val="24"/>
                <w:u w:val="none"/>
                <w:lang w:val="en-US" w:eastAsia="zh-CN"/>
              </w:rPr>
              <w:t>线下</w:t>
            </w:r>
            <w:r>
              <w:rPr>
                <w:rFonts w:hint="eastAsia" w:ascii="仿宋_GB2312" w:hAnsi="仿宋_GB2312" w:eastAsia="仿宋_GB2312" w:cs="仿宋_GB2312"/>
                <w:sz w:val="24"/>
                <w:szCs w:val="24"/>
                <w:u w:val="none"/>
                <w:lang w:val="en-US" w:eastAsia="zh-CN"/>
              </w:rPr>
              <w:t>教学和小组合作探究学习，在学习通上完成观看课程视频、查看课件、阅读资料、完成作业和参与讨论</w:t>
            </w:r>
            <w:r>
              <w:rPr>
                <w:rFonts w:hint="default" w:ascii="仿宋_GB2312" w:hAnsi="仿宋_GB2312" w:eastAsia="仿宋_GB2312" w:cs="仿宋_GB2312"/>
                <w:sz w:val="24"/>
                <w:szCs w:val="24"/>
                <w:u w:val="none"/>
                <w:lang w:val="en-US" w:eastAsia="zh-CN"/>
              </w:rPr>
              <w:t>等学习任务</w:t>
            </w:r>
            <w:r>
              <w:rPr>
                <w:rFonts w:hint="eastAsia" w:ascii="仿宋_GB2312" w:hAnsi="仿宋_GB2312" w:eastAsia="仿宋_GB2312" w:cs="仿宋_GB2312"/>
                <w:sz w:val="24"/>
                <w:szCs w:val="24"/>
                <w:u w:val="none"/>
                <w:lang w:val="en-US" w:eastAsia="zh-CN"/>
              </w:rPr>
              <w:t>。</w:t>
            </w:r>
          </w:p>
        </w:tc>
        <w:tc>
          <w:tcPr>
            <w:tcW w:w="15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参与课堂</w:t>
            </w:r>
            <w:r>
              <w:rPr>
                <w:rFonts w:hint="default" w:ascii="仿宋_GB2312" w:hAnsi="仿宋_GB2312" w:eastAsia="仿宋_GB2312" w:cs="仿宋_GB2312"/>
                <w:sz w:val="24"/>
                <w:szCs w:val="24"/>
                <w:u w:val="none"/>
                <w:lang w:val="en-US" w:eastAsia="zh-CN"/>
              </w:rPr>
              <w:t>线下</w:t>
            </w:r>
            <w:r>
              <w:rPr>
                <w:rFonts w:hint="eastAsia" w:ascii="仿宋_GB2312" w:hAnsi="仿宋_GB2312" w:eastAsia="仿宋_GB2312" w:cs="仿宋_GB2312"/>
                <w:sz w:val="24"/>
                <w:szCs w:val="24"/>
                <w:u w:val="none"/>
                <w:lang w:val="en-US" w:eastAsia="zh-CN"/>
              </w:rPr>
              <w:t>教学和小组合作探究学习，在学习通上基本完成观看课程视频、查看课件、阅读资料、完成作业和参与讨论</w:t>
            </w:r>
            <w:r>
              <w:rPr>
                <w:rFonts w:hint="default" w:ascii="仿宋_GB2312" w:hAnsi="仿宋_GB2312" w:eastAsia="仿宋_GB2312" w:cs="仿宋_GB2312"/>
                <w:sz w:val="24"/>
                <w:szCs w:val="24"/>
                <w:u w:val="none"/>
                <w:lang w:val="en-US" w:eastAsia="zh-CN"/>
              </w:rPr>
              <w:t>等学习任务</w:t>
            </w:r>
            <w:r>
              <w:rPr>
                <w:rFonts w:hint="eastAsia" w:ascii="仿宋_GB2312" w:hAnsi="仿宋_GB2312" w:eastAsia="仿宋_GB2312" w:cs="仿宋_GB2312"/>
                <w:sz w:val="24"/>
                <w:szCs w:val="24"/>
                <w:u w:val="none"/>
                <w:lang w:val="en-US" w:eastAsia="zh-CN"/>
              </w:rPr>
              <w:t>。</w:t>
            </w:r>
          </w:p>
        </w:tc>
        <w:tc>
          <w:tcPr>
            <w:tcW w:w="15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未充分参与课堂</w:t>
            </w:r>
            <w:r>
              <w:rPr>
                <w:rFonts w:hint="default" w:ascii="仿宋_GB2312" w:hAnsi="仿宋_GB2312" w:eastAsia="仿宋_GB2312" w:cs="仿宋_GB2312"/>
                <w:sz w:val="24"/>
                <w:szCs w:val="24"/>
                <w:u w:val="none"/>
                <w:lang w:val="en-US" w:eastAsia="zh-CN"/>
              </w:rPr>
              <w:t>线下</w:t>
            </w:r>
            <w:r>
              <w:rPr>
                <w:rFonts w:hint="eastAsia" w:ascii="仿宋_GB2312" w:hAnsi="仿宋_GB2312" w:eastAsia="仿宋_GB2312" w:cs="仿宋_GB2312"/>
                <w:sz w:val="24"/>
                <w:szCs w:val="24"/>
                <w:u w:val="none"/>
                <w:lang w:val="en-US" w:eastAsia="zh-CN"/>
              </w:rPr>
              <w:t>教学和小组合作探究学习，未在学习通上完成观看课程视频、查看课件、阅读资料、完成作业和参与讨论</w:t>
            </w:r>
            <w:r>
              <w:rPr>
                <w:rFonts w:hint="default" w:ascii="仿宋_GB2312" w:hAnsi="仿宋_GB2312" w:eastAsia="仿宋_GB2312" w:cs="仿宋_GB2312"/>
                <w:sz w:val="24"/>
                <w:szCs w:val="24"/>
                <w:u w:val="none"/>
                <w:lang w:val="en-US" w:eastAsia="zh-CN"/>
              </w:rPr>
              <w:t>等学习任务</w:t>
            </w:r>
            <w:r>
              <w:rPr>
                <w:rFonts w:hint="eastAsia" w:ascii="仿宋_GB2312" w:hAnsi="仿宋_GB2312" w:eastAsia="仿宋_GB2312" w:cs="仿宋_GB2312"/>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60</w:t>
            </w:r>
          </w:p>
        </w:tc>
      </w:tr>
    </w:tbl>
    <w:p>
      <w:pPr>
        <w:widowControl/>
        <w:jc w:val="left"/>
        <w:rPr>
          <w:rFonts w:hint="eastAsia" w:asciiTheme="minorEastAsia" w:hAnsiTheme="minorEastAsia" w:eastAsiaTheme="minorEastAsia"/>
        </w:rPr>
      </w:pPr>
    </w:p>
    <w:p>
      <w:pPr>
        <w:widowControl/>
        <w:snapToGrid w:val="0"/>
        <w:spacing w:before="156" w:beforeLines="50" w:after="156" w:afterLines="50"/>
        <w:jc w:val="center"/>
        <w:rPr>
          <w:rFonts w:hint="eastAsia" w:ascii="黑体" w:hAnsi="黑体" w:eastAsia="黑体" w:cs="Times New Roman"/>
          <w:szCs w:val="21"/>
          <w:lang w:val="en-US" w:eastAsia="zh-CN"/>
        </w:rPr>
      </w:pPr>
      <w:r>
        <w:rPr>
          <w:rFonts w:hint="eastAsia" w:ascii="黑体" w:hAnsi="黑体" w:eastAsia="黑体" w:cs="Times New Roman"/>
          <w:szCs w:val="21"/>
          <w:lang w:val="en-US" w:eastAsia="zh-CN"/>
        </w:rPr>
        <w:t>课程考核评分标准</w:t>
      </w:r>
    </w:p>
    <w:tbl>
      <w:tblPr>
        <w:tblStyle w:val="7"/>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1588"/>
        <w:gridCol w:w="1586"/>
        <w:gridCol w:w="1586"/>
        <w:gridCol w:w="158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973" w:type="dxa"/>
            <w:vMerge w:val="restart"/>
            <w:tcBorders>
              <w:top w:val="single" w:color="auto" w:sz="4" w:space="0"/>
              <w:left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教学目标要求</w:t>
            </w:r>
          </w:p>
        </w:tc>
        <w:tc>
          <w:tcPr>
            <w:tcW w:w="6379"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评分标准</w:t>
            </w:r>
          </w:p>
        </w:tc>
        <w:tc>
          <w:tcPr>
            <w:tcW w:w="788" w:type="dxa"/>
            <w:vMerge w:val="restart"/>
            <w:tcBorders>
              <w:top w:val="single" w:color="auto" w:sz="4" w:space="0"/>
              <w:left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73" w:type="dxa"/>
            <w:vMerge w:val="continue"/>
            <w:tcBorders>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1594"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90-100</w:t>
            </w:r>
          </w:p>
        </w:tc>
        <w:tc>
          <w:tcPr>
            <w:tcW w:w="159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80-89</w:t>
            </w:r>
          </w:p>
        </w:tc>
        <w:tc>
          <w:tcPr>
            <w:tcW w:w="159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60-79</w:t>
            </w:r>
          </w:p>
        </w:tc>
        <w:tc>
          <w:tcPr>
            <w:tcW w:w="159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0-59</w:t>
            </w:r>
          </w:p>
        </w:tc>
        <w:tc>
          <w:tcPr>
            <w:tcW w:w="788" w:type="dxa"/>
            <w:vMerge w:val="continue"/>
            <w:tcBorders>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4" w:hRule="atLeast"/>
          <w:jc w:val="center"/>
        </w:trPr>
        <w:tc>
          <w:tcPr>
            <w:tcW w:w="2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目标2：正确运用形势与政策分析方法，运用习近平新时代中国特色社会主义思想分析国内形势。分析热点、难点问题的成因、趋势。运用人类命运共同体理念分析国际局势及地区热点问题，分析地区局势和国际关系的发展趋势。正确评价国内外重大时事、党和国家的方针政策，正确评价社会重要问题、热点问题，正确评价世界重大事件、地区热点问题，准确判断舆论中形势与政策观点的是非对错。</w:t>
            </w: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书写很认真，立场正确，观点鲜明，逻辑思路非常清晰，完全掌握用形势与政策分析方法和习近平新时代中国特色社会主义思想分析国内外形势，分析热点难点问题。思想政治素质和理论水平很高，世界观、人生观和价值观很正确，完全具备终生学习能力。</w:t>
            </w:r>
          </w:p>
        </w:tc>
        <w:tc>
          <w:tcPr>
            <w:tcW w:w="15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书写认真，立场正确，观点比较鲜明，逻辑思路比较清晰，掌握用形势与政策分析方法和习近平新时代中国特色社会主义思想分析国内外形势，分析热点难点问题。思想政治素质和理论水平高，世界观、人生观和价值观正确，具备终生学习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tc>
        <w:tc>
          <w:tcPr>
            <w:tcW w:w="15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书写不够认真，立场基本正确，观点基本鲜明，逻辑思路基本清晰，基本掌握用形势与政策分析方法和习近平新时代中国特色社会主义思想分析国内外形势，分析热点难点问题。思想政治素质和理论水平一般，世界观、人生观和价值观较正确，基本具备终生学习能力。</w:t>
            </w:r>
          </w:p>
        </w:tc>
        <w:tc>
          <w:tcPr>
            <w:tcW w:w="15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书写不认真，立场不够正确，观点不鲜明，逻辑不清晰，没有掌握用形势与政策分析方法和习近平新时代中国特色社会主义思想分析国内外形势，分析热点难点问题。思想政治素质和理论水平低，世界观、人生观和价值观不正确，不具备终生学习能力。</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40</w:t>
            </w:r>
          </w:p>
        </w:tc>
      </w:tr>
    </w:tbl>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注：评分标准的分数段划分可以根据课程需要自行设计。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可在表格上下用文字或其他方式细化其他应明确的要求，比如报告、作业、考试之类的，细化考核要求，如一共需交几次作业，分别在什么时候、用什么方式提交。与前面的教、学方式对应。</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及格标准体现课程目标达成的“底线”。评分方式可操作，标准明确，分数有区分性。</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除了对专业知识点掌握的要求外，还应体现出对专业能力和素质的要求。</w:t>
      </w:r>
    </w:p>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widowControl/>
        <w:snapToGrid w:val="0"/>
        <w:spacing w:line="360" w:lineRule="auto"/>
        <w:jc w:val="both"/>
        <w:rPr>
          <w:rFonts w:hint="default"/>
          <w:lang w:val="en-US" w:eastAsia="zh-CN"/>
        </w:rPr>
      </w:pPr>
      <w:r>
        <w:rPr>
          <w:rFonts w:hint="eastAsia" w:ascii="黑体" w:hAnsi="黑体" w:eastAsia="黑体"/>
          <w:sz w:val="24"/>
          <w:szCs w:val="24"/>
          <w:u w:val="none"/>
        </w:rPr>
        <w:t>起草人签字：</w:t>
      </w:r>
      <w:r>
        <w:rPr>
          <w:rFonts w:hint="eastAsia" w:ascii="黑体" w:hAnsi="黑体" w:eastAsia="黑体"/>
          <w:sz w:val="24"/>
          <w:szCs w:val="24"/>
          <w:u w:val="none"/>
          <w:lang w:val="en-US" w:eastAsia="zh-CN"/>
        </w:rPr>
        <w:t>李文超</w:t>
      </w:r>
      <w:r>
        <w:rPr>
          <w:rFonts w:hint="eastAsia" w:ascii="黑体" w:hAnsi="黑体" w:eastAsia="黑体"/>
          <w:sz w:val="24"/>
          <w:szCs w:val="24"/>
          <w:u w:val="none"/>
        </w:rPr>
        <w:t xml:space="preserve">  </w:t>
      </w:r>
      <w:r>
        <w:rPr>
          <w:rFonts w:hint="eastAsia" w:ascii="黑体" w:hAnsi="黑体" w:eastAsia="黑体"/>
          <w:sz w:val="24"/>
          <w:szCs w:val="24"/>
          <w:u w:val="none"/>
          <w:lang w:val="en-US" w:eastAsia="zh-CN"/>
        </w:rPr>
        <w:t>郑培</w:t>
      </w:r>
      <w:r>
        <w:rPr>
          <w:rFonts w:hint="eastAsia" w:ascii="黑体" w:hAnsi="黑体" w:eastAsia="黑体"/>
          <w:sz w:val="24"/>
          <w:szCs w:val="24"/>
          <w:u w:val="none"/>
        </w:rPr>
        <w:t xml:space="preserve">            </w:t>
      </w:r>
      <w:r>
        <w:rPr>
          <w:rFonts w:hint="eastAsia" w:ascii="黑体" w:hAnsi="黑体" w:eastAsia="黑体"/>
          <w:sz w:val="24"/>
          <w:szCs w:val="24"/>
          <w:u w:val="none"/>
          <w:lang w:val="en-US" w:eastAsia="zh-CN"/>
        </w:rPr>
        <w:t xml:space="preserve">    </w:t>
      </w:r>
      <w:r>
        <w:rPr>
          <w:rFonts w:hint="eastAsia" w:ascii="黑体" w:hAnsi="黑体" w:eastAsia="黑体"/>
          <w:sz w:val="24"/>
          <w:szCs w:val="24"/>
          <w:u w:val="none"/>
        </w:rPr>
        <w:t>教研室主任审核签字：</w:t>
      </w:r>
      <w:r>
        <w:rPr>
          <w:rFonts w:hint="eastAsia" w:ascii="黑体" w:hAnsi="黑体" w:eastAsia="黑体"/>
          <w:sz w:val="24"/>
          <w:szCs w:val="24"/>
          <w:u w:val="none"/>
          <w:lang w:val="en-US" w:eastAsia="zh-CN"/>
        </w:rPr>
        <w:t>郑培</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NTYyYTU5MGMzZGQzMzU4ZWQ4OTZjNGQyZjNlNTEifQ=="/>
  </w:docVars>
  <w:rsids>
    <w:rsidRoot w:val="156C6791"/>
    <w:rsid w:val="156C6791"/>
    <w:rsid w:val="61A3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_GB2312" w:hAnsi="仿宋_GB2312" w:eastAsia="仿宋_GB2312" w:cs="仿宋_GB2312"/>
      <w:kern w:val="0"/>
      <w:sz w:val="30"/>
      <w:szCs w:val="30"/>
      <w:lang w:val="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4052</Words>
  <Characters>4150</Characters>
  <Lines>0</Lines>
  <Paragraphs>0</Paragraphs>
  <TotalTime>0</TotalTime>
  <ScaleCrop>false</ScaleCrop>
  <LinksUpToDate>false</LinksUpToDate>
  <CharactersWithSpaces>4178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2024-06-05T01:56:00Z</dcterms:created>
  <dc:creator>June  禄媛儿</dc:creator>
  <cp:lastModifiedBy>June  禄媛儿</cp:lastModifiedBy>
  <dcterms:modified xsi:type="dcterms:W3CDTF">2024-06-05T02:35:27Z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C4587FFD1E73417E859F1D5FB736C528_11</vt:lpwstr>
  </property>
</Properties>
</file>