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Theme="majorEastAsia" w:hAnsiTheme="majorEastAsia" w:eastAsiaTheme="majorEastAsia" w:cstheme="majorEastAsia"/>
          <w:color w:val="000000"/>
          <w:kern w:val="0"/>
          <w:sz w:val="32"/>
          <w:szCs w:val="32"/>
          <w:lang w:bidi="en-US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32"/>
          <w:szCs w:val="32"/>
          <w:lang w:bidi="en-US"/>
        </w:rPr>
        <w:t xml:space="preserve">附件2 </w:t>
      </w:r>
    </w:p>
    <w:p>
      <w:pPr>
        <w:spacing w:line="560" w:lineRule="exact"/>
        <w:rPr>
          <w:rFonts w:ascii="仿宋" w:hAnsi="仿宋" w:eastAsia="仿宋" w:cs="Times New Roman"/>
          <w:color w:val="000000"/>
          <w:kern w:val="0"/>
          <w:sz w:val="30"/>
          <w:szCs w:val="30"/>
          <w:lang w:bidi="en-US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en-US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en-US"/>
        </w:rPr>
        <w:t>许昌陶瓷职业学院2023年“人人持证、技能河南”建设工作任务分配表</w:t>
      </w:r>
    </w:p>
    <w:bookmarkEnd w:id="0"/>
    <w:tbl>
      <w:tblPr>
        <w:tblStyle w:val="4"/>
        <w:tblpPr w:leftFromText="180" w:rightFromText="180" w:vertAnchor="page" w:horzAnchor="page" w:tblpX="1660" w:tblpY="4183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2145"/>
        <w:gridCol w:w="1140"/>
        <w:gridCol w:w="1185"/>
        <w:gridCol w:w="900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24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  <w:t>学院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  <w:t>毕业学年学生人数（含20级、21级）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  <w:t>1+X取证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  <w:t>技能培训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  <w:t>（人次）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  <w:t>取证人数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  <w:t>高级工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  <w:lang w:bidi="ar"/>
              </w:rPr>
              <w:t>及以上人数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4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教育与表演艺术学院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871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90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975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730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24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信息与机电工程学院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1277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130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1430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1080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4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建筑与陶瓷设计学院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719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75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810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610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24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经贸与工商管理学院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675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70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760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570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24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综合部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（弹性学制办公室）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2400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0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1000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4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中专部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36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0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30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0</w:t>
            </w:r>
          </w:p>
        </w:tc>
      </w:tr>
    </w:tbl>
    <w:p>
      <w:pPr>
        <w:jc w:val="left"/>
        <w:rPr>
          <w:rFonts w:ascii="仿宋" w:hAnsi="仿宋" w:eastAsia="仿宋" w:cs="仿宋"/>
          <w:b/>
          <w:bCs/>
          <w:sz w:val="22"/>
          <w:szCs w:val="22"/>
        </w:rPr>
      </w:pPr>
    </w:p>
    <w:p>
      <w:pPr>
        <w:jc w:val="left"/>
        <w:rPr>
          <w:rFonts w:ascii="仿宋" w:hAnsi="仿宋" w:eastAsia="仿宋" w:cs="仿宋"/>
          <w:b/>
          <w:bCs/>
          <w:sz w:val="22"/>
          <w:szCs w:val="22"/>
        </w:rPr>
      </w:pPr>
    </w:p>
    <w:p>
      <w:pPr>
        <w:jc w:val="left"/>
        <w:rPr>
          <w:rFonts w:ascii="仿宋" w:hAnsi="仿宋" w:eastAsia="仿宋" w:cs="仿宋"/>
          <w:b/>
          <w:bCs/>
          <w:sz w:val="22"/>
          <w:szCs w:val="22"/>
        </w:rPr>
      </w:pPr>
    </w:p>
    <w:p>
      <w:pPr>
        <w:jc w:val="left"/>
        <w:rPr>
          <w:rFonts w:ascii="仿宋" w:hAnsi="仿宋" w:eastAsia="仿宋" w:cs="仿宋"/>
          <w:b/>
          <w:bCs/>
          <w:sz w:val="22"/>
          <w:szCs w:val="22"/>
        </w:rPr>
      </w:pPr>
    </w:p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注：</w:t>
      </w:r>
      <w:r>
        <w:rPr>
          <w:rFonts w:hint="eastAsia" w:ascii="仿宋_GB2312" w:hAnsi="仿宋_GB2312" w:eastAsia="仿宋_GB2312" w:cs="仿宋_GB2312"/>
          <w:sz w:val="32"/>
          <w:szCs w:val="32"/>
        </w:rPr>
        <w:t>①每位学生可以参与多项培训；</w:t>
      </w:r>
    </w:p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②总表人数为年度完成人数；</w:t>
      </w:r>
    </w:p>
    <w:p>
      <w:pPr>
        <w:spacing w:line="560" w:lineRule="exact"/>
        <w:ind w:left="958" w:leftChars="304" w:hanging="320" w:hangingChars="1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>③12个月内，一人最多允许获得1本同职业（工种）的职业技能等级证书，多职业工种最多不超过3本。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MjAyYzM1YTE4ODgyMTZjZDFlNzQzOGIzMGRiM2YifQ=="/>
  </w:docVars>
  <w:rsids>
    <w:rsidRoot w:val="1F053096"/>
    <w:rsid w:val="1F05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Header or footer|2"/>
    <w:basedOn w:val="1"/>
    <w:qFormat/>
    <w:uiPriority w:val="0"/>
    <w:pPr>
      <w:jc w:val="left"/>
    </w:pPr>
    <w:rPr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2023-03-27T04:33:00Z</dcterms:created>
  <dc:creator>OvO`</dc:creator>
  <cp:lastModifiedBy>OvO`</cp:lastModifiedBy>
  <dcterms:modified xsi:type="dcterms:W3CDTF">2023-03-27T04:34:35Z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E3A3BFC34F4C4F688E461B59EEAC5099</vt:lpwstr>
  </property>
</Properties>
</file>