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520"/>
        <w:gridCol w:w="1761"/>
        <w:gridCol w:w="2674"/>
        <w:gridCol w:w="2954"/>
        <w:gridCol w:w="2854"/>
        <w:gridCol w:w="2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8"/>
                <w:szCs w:val="48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  <w:highlight w:val="none"/>
              </w:rPr>
              <w:t>许昌陶瓷职业学院202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  <w:highlight w:val="none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  <w:highlight w:val="none"/>
                <w:lang w:val="en-US" w:eastAsia="zh-CN"/>
              </w:rPr>
              <w:t>春季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  <w:highlight w:val="none"/>
              </w:rPr>
              <w:t>人才招聘计划表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部门名称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需求岗位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专业要求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需求数量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信息与机电工程学院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计算机科学与技术、大数据、软件工程、通信工程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5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车辆工程、汽车运用工程、新能源汽车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思政部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哲学、历史学、法学、政治学、思想政治教育等相关专业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(许昌校区)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51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公共基础部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（教学岗）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英语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（郑州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校区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（教学岗）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（郑州校区）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建筑与陶瓷设计学院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陶瓷设计类相关专业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51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教育与表演艺术学院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学前教育相关专业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护理或康复治疗相关专业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5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教育与表演艺术学院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古筝相关专业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外聘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古典吉他相关专业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外聘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二胡相关专业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外聘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长笛相关专业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外聘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教学岗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单簧管相关专业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外聘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5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学生处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行政岗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团委学生处行政工作、宣传工作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中共党员（含预备党员）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行政岗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大学生心理健康教育工作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中共党员（含预备党员）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行政岗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团委团学相关工作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中共党员（含预备党员）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辅导员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5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中专部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教官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专业不限，退伍军人（士官优先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辅导员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后勤保卫处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行政岗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法律类、公共管理类，退伍军人优先。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3CCC3E28"/>
    <w:rsid w:val="3CC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697</Characters>
  <Lines>0</Lines>
  <Paragraphs>0</Paragraphs>
  <TotalTime>0</TotalTime>
  <ScaleCrop>false</ScaleCrop>
  <LinksUpToDate>false</LinksUpToDate>
  <CharactersWithSpaces>697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2022-12-27T08:19:00Z</dcterms:created>
  <dc:creator>Administrator</dc:creator>
  <cp:lastModifiedBy>Administrator</cp:lastModifiedBy>
  <dcterms:modified xsi:type="dcterms:W3CDTF">2022-12-27T08:20:02Z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6CE1FB5146BA44399A8CF1D365F2E996</vt:lpwstr>
  </property>
</Properties>
</file>