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before="0" w:after="0" w:line="240" w:lineRule="auto"/>
        <w:jc w:val="center"/>
        <w:rPr>
          <w:rFonts w:hint="eastAsia" w:ascii="微软雅黑" w:hAnsi="微软雅黑" w:eastAsia="微软雅黑" w:cs="微软雅黑"/>
          <w:sz w:val="36"/>
          <w:szCs w:val="36"/>
          <w:lang w:val="en-US" w:eastAsia="zh-CN"/>
        </w:rPr>
      </w:pPr>
      <w:bookmarkStart w:id="4" w:name="_GoBack"/>
      <w:r>
        <w:rPr>
          <w:rFonts w:hint="eastAsia" w:ascii="微软雅黑" w:hAnsi="微软雅黑" w:eastAsia="微软雅黑" w:cs="微软雅黑"/>
          <w:sz w:val="36"/>
          <w:szCs w:val="36"/>
          <w:lang w:val="en-US" w:eastAsia="zh-CN"/>
        </w:rPr>
        <w:t>旅游管理专业人才培养方案</w:t>
      </w:r>
    </w:p>
    <w:bookmarkEnd w:id="4"/>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bCs/>
          <w:color w:val="000000" w:themeColor="text1"/>
          <w:kern w:val="0"/>
          <w:sz w:val="28"/>
          <w:szCs w:val="28"/>
          <w:lang w:val="en-US" w:eastAsia="zh-CN"/>
          <w14:textFill>
            <w14:solidFill>
              <w14:schemeClr w14:val="tx1"/>
            </w14:solidFill>
          </w14:textFill>
        </w:rPr>
        <w:t xml:space="preserve">    一、专业名称及代码</w:t>
      </w:r>
      <w:r>
        <w:rPr>
          <w:rFonts w:hint="eastAsia" w:ascii="黑体" w:hAnsi="黑体" w:eastAsia="黑体" w:cs="黑体"/>
          <w:kern w:val="0"/>
          <w:sz w:val="28"/>
          <w:szCs w:val="28"/>
          <w:lang w:val="en-US" w:eastAsia="zh-CN" w:bidi="zh-CN"/>
        </w:rPr>
        <w:t xml:space="preserve"> </w:t>
      </w:r>
    </w:p>
    <w:p>
      <w:pPr>
        <w:spacing w:before="0" w:after="0" w:line="560" w:lineRule="exact"/>
        <w:ind w:left="0" w:right="0" w:firstLine="560" w:firstLineChars="200"/>
        <w:jc w:val="left"/>
        <w:rPr>
          <w:rFonts w:hint="default" w:ascii="楷体" w:eastAsia="楷体"/>
          <w:b w:val="0"/>
          <w:bCs w:val="0"/>
          <w:sz w:val="28"/>
          <w:szCs w:val="28"/>
          <w:lang w:val="en-US" w:eastAsia="zh-CN"/>
        </w:rPr>
      </w:pPr>
      <w:r>
        <w:rPr>
          <w:rFonts w:hint="eastAsia" w:ascii="楷体" w:eastAsia="楷体"/>
          <w:b w:val="0"/>
          <w:bCs w:val="0"/>
          <w:sz w:val="28"/>
          <w:szCs w:val="28"/>
          <w:lang w:val="en-US" w:eastAsia="zh-CN"/>
        </w:rPr>
        <w:t>（一）专业名称：旅游管理</w:t>
      </w:r>
    </w:p>
    <w:p>
      <w:pPr>
        <w:spacing w:before="0" w:after="0" w:line="560" w:lineRule="exact"/>
        <w:ind w:left="0" w:right="0" w:firstLine="560" w:firstLineChars="200"/>
        <w:jc w:val="left"/>
        <w:rPr>
          <w:rFonts w:hint="default" w:ascii="楷体" w:eastAsia="楷体"/>
          <w:b w:val="0"/>
          <w:bCs w:val="0"/>
          <w:sz w:val="28"/>
          <w:szCs w:val="28"/>
          <w:lang w:val="en-US" w:eastAsia="zh-CN"/>
        </w:rPr>
      </w:pPr>
      <w:r>
        <w:rPr>
          <w:rFonts w:hint="eastAsia" w:ascii="楷体" w:eastAsia="楷体"/>
          <w:b w:val="0"/>
          <w:bCs w:val="0"/>
          <w:sz w:val="28"/>
          <w:szCs w:val="28"/>
          <w:lang w:val="en-US" w:eastAsia="zh-CN"/>
        </w:rPr>
        <w:t>（二）专业代码：540101</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黑体" w:hAnsi="黑体" w:eastAsia="黑体" w:cs="黑体"/>
          <w:bCs/>
          <w:color w:val="000000" w:themeColor="text1"/>
          <w:kern w:val="0"/>
          <w:sz w:val="28"/>
          <w:szCs w:val="28"/>
          <w:lang w:val="en-US" w:eastAsia="zh-CN"/>
          <w14:textFill>
            <w14:solidFill>
              <w14:schemeClr w14:val="tx1"/>
            </w14:solidFill>
          </w14:textFill>
        </w:rPr>
      </w:pPr>
      <w:r>
        <w:rPr>
          <w:rFonts w:hint="eastAsia" w:ascii="黑体" w:hAnsi="黑体" w:eastAsia="黑体" w:cs="黑体"/>
          <w:bCs/>
          <w:color w:val="000000" w:themeColor="text1"/>
          <w:kern w:val="0"/>
          <w:sz w:val="28"/>
          <w:szCs w:val="28"/>
          <w:lang w:val="en-US" w:eastAsia="zh-CN"/>
          <w14:textFill>
            <w14:solidFill>
              <w14:schemeClr w14:val="tx1"/>
            </w14:solidFill>
          </w14:textFill>
        </w:rPr>
        <w:t xml:space="preserve">    二、入学要求及修业年限 </w:t>
      </w:r>
    </w:p>
    <w:p>
      <w:pPr>
        <w:spacing w:before="0" w:after="0" w:line="560" w:lineRule="exact"/>
        <w:ind w:left="0" w:right="0" w:firstLine="560" w:firstLineChars="200"/>
        <w:jc w:val="left"/>
        <w:rPr>
          <w:rFonts w:hint="eastAsia" w:ascii="楷体" w:eastAsia="楷体"/>
          <w:b w:val="0"/>
          <w:bCs w:val="0"/>
          <w:sz w:val="28"/>
          <w:szCs w:val="28"/>
          <w:lang w:val="en-US" w:eastAsia="zh-CN"/>
        </w:rPr>
      </w:pPr>
      <w:r>
        <w:rPr>
          <w:rFonts w:hint="eastAsia" w:ascii="楷体" w:eastAsia="楷体"/>
          <w:b w:val="0"/>
          <w:bCs w:val="0"/>
          <w:sz w:val="28"/>
          <w:szCs w:val="28"/>
          <w:lang w:val="en-US" w:eastAsia="zh-CN"/>
        </w:rPr>
        <w:t xml:space="preserve">（一）入学要求：高中毕业生、中职毕业生或具有同等学力者 </w:t>
      </w:r>
    </w:p>
    <w:p>
      <w:pPr>
        <w:spacing w:before="0" w:after="0" w:line="560" w:lineRule="exact"/>
        <w:ind w:left="0" w:right="0" w:firstLine="560" w:firstLineChars="200"/>
        <w:jc w:val="left"/>
        <w:rPr>
          <w:rFonts w:hint="eastAsia" w:ascii="楷体" w:eastAsia="楷体"/>
          <w:b w:val="0"/>
          <w:bCs w:val="0"/>
          <w:sz w:val="28"/>
          <w:szCs w:val="28"/>
          <w:lang w:val="en-US" w:eastAsia="zh-CN"/>
        </w:rPr>
      </w:pPr>
      <w:r>
        <w:rPr>
          <w:rFonts w:hint="eastAsia" w:ascii="楷体" w:eastAsia="楷体"/>
          <w:b w:val="0"/>
          <w:bCs w:val="0"/>
          <w:sz w:val="28"/>
          <w:szCs w:val="28"/>
          <w:lang w:val="en-US" w:eastAsia="zh-CN"/>
        </w:rPr>
        <w:t xml:space="preserve">（二）学    制：三年 </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黑体" w:hAnsi="黑体" w:eastAsia="黑体" w:cs="黑体"/>
          <w:bCs/>
          <w:color w:val="000000" w:themeColor="text1"/>
          <w:kern w:val="0"/>
          <w:sz w:val="28"/>
          <w:szCs w:val="28"/>
          <w:lang w:val="en-US" w:eastAsia="zh-CN"/>
          <w14:textFill>
            <w14:solidFill>
              <w14:schemeClr w14:val="tx1"/>
            </w14:solidFill>
          </w14:textFill>
        </w:rPr>
      </w:pPr>
      <w:r>
        <w:rPr>
          <w:rFonts w:hint="eastAsia" w:ascii="黑体" w:hAnsi="黑体" w:eastAsia="黑体" w:cs="黑体"/>
          <w:bCs/>
          <w:color w:val="000000" w:themeColor="text1"/>
          <w:kern w:val="0"/>
          <w:sz w:val="28"/>
          <w:szCs w:val="28"/>
          <w:lang w:val="en-US" w:eastAsia="zh-CN"/>
          <w14:textFill>
            <w14:solidFill>
              <w14:schemeClr w14:val="tx1"/>
            </w14:solidFill>
          </w14:textFill>
        </w:rPr>
        <w:t xml:space="preserve">    三、职业面向 </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default"/>
          <w:lang w:val="en-US"/>
        </w:rPr>
      </w:pPr>
      <w:r>
        <w:rPr>
          <w:rFonts w:hint="eastAsia" w:ascii="楷体" w:hAnsi="楷体" w:eastAsia="楷体" w:cs="楷体"/>
          <w:color w:val="000000"/>
          <w:kern w:val="0"/>
          <w:sz w:val="24"/>
          <w:szCs w:val="24"/>
          <w:lang w:val="en-US" w:eastAsia="zh-CN" w:bidi="ar"/>
        </w:rPr>
        <w:t xml:space="preserve">    专业所属大类：旅游类 </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default"/>
          <w:lang w:val="en-US"/>
        </w:rPr>
      </w:pPr>
      <w:r>
        <w:rPr>
          <w:rFonts w:hint="eastAsia" w:ascii="楷体" w:hAnsi="楷体" w:eastAsia="楷体" w:cs="楷体"/>
          <w:color w:val="000000"/>
          <w:kern w:val="0"/>
          <w:sz w:val="24"/>
          <w:szCs w:val="24"/>
          <w:lang w:val="en-US" w:eastAsia="zh-CN" w:bidi="ar"/>
        </w:rPr>
        <w:t xml:space="preserve">    所属大类代码：54</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480" w:firstLineChars="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面向行业：商务服务业</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480" w:firstLineChars="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就业面向分析：旅游管理专业毕业生可从事旅游行政管理部门、旅行社、旅游景区、旅游咨询公司、旅游电子商务企业、旅游规划策划机构、主题公园的旅游经济管理和企业管理工作或旅游与休闲行业的自主创业。</w:t>
      </w:r>
    </w:p>
    <w:tbl>
      <w:tblPr>
        <w:tblStyle w:val="6"/>
        <w:tblpPr w:leftFromText="180" w:rightFromText="180" w:vertAnchor="text" w:horzAnchor="page" w:tblpX="1808" w:tblpY="3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691"/>
        <w:gridCol w:w="206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主要职业类别</w:t>
            </w: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主要岗位群（技术领域）</w:t>
            </w:r>
          </w:p>
        </w:tc>
        <w:tc>
          <w:tcPr>
            <w:tcW w:w="20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职业能力描述</w:t>
            </w:r>
          </w:p>
        </w:tc>
        <w:tc>
          <w:tcPr>
            <w:tcW w:w="189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旅游岗位</w:t>
            </w: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导游</w:t>
            </w:r>
          </w:p>
        </w:tc>
        <w:tc>
          <w:tcPr>
            <w:tcW w:w="206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一线服务</w:t>
            </w:r>
          </w:p>
        </w:tc>
        <w:tc>
          <w:tcPr>
            <w:tcW w:w="189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导游证（初级、中级、高级、特级）、旅游计调师证、酒店经理职业资格证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480" w:firstLineChars="0"/>
              <w:jc w:val="center"/>
              <w:textAlignment w:val="auto"/>
              <w:outlineLvl w:val="9"/>
              <w:rPr>
                <w:rFonts w:hint="eastAsia" w:ascii="楷体" w:hAnsi="楷体" w:eastAsia="楷体" w:cs="楷体"/>
                <w:color w:val="000000"/>
                <w:kern w:val="0"/>
                <w:sz w:val="24"/>
                <w:szCs w:val="24"/>
                <w:lang w:val="en-US" w:eastAsia="zh-CN" w:bidi="ar"/>
              </w:rPr>
            </w:pP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计调</w:t>
            </w:r>
          </w:p>
        </w:tc>
        <w:tc>
          <w:tcPr>
            <w:tcW w:w="206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480" w:firstLineChars="0"/>
              <w:jc w:val="center"/>
              <w:textAlignment w:val="auto"/>
              <w:outlineLvl w:val="9"/>
              <w:rPr>
                <w:rFonts w:hint="eastAsia" w:ascii="楷体" w:hAnsi="楷体" w:eastAsia="楷体" w:cs="楷体"/>
                <w:color w:val="000000"/>
                <w:kern w:val="0"/>
                <w:sz w:val="24"/>
                <w:szCs w:val="24"/>
                <w:lang w:val="en-US" w:eastAsia="zh-CN" w:bidi="ar"/>
              </w:rPr>
            </w:pPr>
          </w:p>
        </w:tc>
        <w:tc>
          <w:tcPr>
            <w:tcW w:w="1895"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50" w:lineRule="exact"/>
              <w:ind w:right="0" w:rightChars="0"/>
              <w:jc w:val="center"/>
              <w:textAlignment w:val="auto"/>
              <w:outlineLvl w:val="9"/>
              <w:rPr>
                <w:rFonts w:hint="eastAsia" w:ascii="仿宋_GB2312" w:hAnsi="仿宋_GB2312" w:eastAsia="仿宋_GB2312" w:cs="仿宋_GB2312"/>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480" w:firstLineChars="0"/>
              <w:jc w:val="center"/>
              <w:textAlignment w:val="auto"/>
              <w:outlineLvl w:val="9"/>
              <w:rPr>
                <w:rFonts w:hint="eastAsia" w:ascii="楷体" w:hAnsi="楷体" w:eastAsia="楷体" w:cs="楷体"/>
                <w:color w:val="000000"/>
                <w:kern w:val="0"/>
                <w:sz w:val="24"/>
                <w:szCs w:val="24"/>
                <w:lang w:val="en-US" w:eastAsia="zh-CN" w:bidi="ar"/>
              </w:rPr>
            </w:pP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接待</w:t>
            </w:r>
          </w:p>
        </w:tc>
        <w:tc>
          <w:tcPr>
            <w:tcW w:w="206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480" w:firstLineChars="0"/>
              <w:jc w:val="center"/>
              <w:textAlignment w:val="auto"/>
              <w:outlineLvl w:val="9"/>
              <w:rPr>
                <w:rFonts w:hint="eastAsia" w:ascii="楷体" w:hAnsi="楷体" w:eastAsia="楷体" w:cs="楷体"/>
                <w:color w:val="000000"/>
                <w:kern w:val="0"/>
                <w:sz w:val="24"/>
                <w:szCs w:val="24"/>
                <w:lang w:val="en-US" w:eastAsia="zh-CN" w:bidi="ar"/>
              </w:rPr>
            </w:pPr>
          </w:p>
        </w:tc>
        <w:tc>
          <w:tcPr>
            <w:tcW w:w="1895"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50" w:lineRule="exact"/>
              <w:ind w:right="0" w:rightChars="0"/>
              <w:jc w:val="center"/>
              <w:textAlignment w:val="auto"/>
              <w:outlineLvl w:val="9"/>
              <w:rPr>
                <w:rFonts w:hint="eastAsia" w:ascii="仿宋_GB2312" w:hAnsi="仿宋_GB2312" w:eastAsia="仿宋_GB2312" w:cs="仿宋_GB2312"/>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871"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旅游行政管理部门岗位</w:t>
            </w: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国家以及省市区（直辖市）、各地级行政区、县级行政区的旅游局工作人员</w:t>
            </w:r>
          </w:p>
        </w:tc>
        <w:tc>
          <w:tcPr>
            <w:tcW w:w="20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文员</w:t>
            </w:r>
          </w:p>
        </w:tc>
        <w:tc>
          <w:tcPr>
            <w:tcW w:w="1895"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50" w:lineRule="exact"/>
              <w:ind w:right="0" w:rightChars="0"/>
              <w:jc w:val="center"/>
              <w:textAlignment w:val="auto"/>
              <w:outlineLvl w:val="9"/>
              <w:rPr>
                <w:rFonts w:hint="eastAsia" w:ascii="仿宋_GB2312" w:hAnsi="仿宋_GB2312" w:eastAsia="仿宋_GB2312" w:cs="仿宋_GB2312"/>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8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旅游规划策划机构岗位</w:t>
            </w:r>
          </w:p>
        </w:tc>
        <w:tc>
          <w:tcPr>
            <w:tcW w:w="26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旅游规划策划机构职员</w:t>
            </w:r>
          </w:p>
        </w:tc>
        <w:tc>
          <w:tcPr>
            <w:tcW w:w="20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right="0" w:rightChars="0"/>
              <w:jc w:val="center"/>
              <w:textAlignment w:val="auto"/>
              <w:outlineLvl w:val="9"/>
              <w:rPr>
                <w:rFonts w:hint="default"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文员</w:t>
            </w:r>
          </w:p>
        </w:tc>
        <w:tc>
          <w:tcPr>
            <w:tcW w:w="1895"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50" w:lineRule="exact"/>
              <w:ind w:right="0" w:rightChars="0"/>
              <w:jc w:val="center"/>
              <w:textAlignment w:val="auto"/>
              <w:outlineLvl w:val="9"/>
              <w:rPr>
                <w:rFonts w:hint="eastAsia" w:ascii="仿宋_GB2312" w:hAnsi="仿宋_GB2312" w:eastAsia="仿宋_GB2312" w:cs="仿宋_GB2312"/>
                <w:kern w:val="2"/>
                <w:sz w:val="24"/>
                <w:szCs w:val="24"/>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jc w:val="left"/>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bCs/>
          <w:color w:val="000000" w:themeColor="text1"/>
          <w:kern w:val="0"/>
          <w:sz w:val="28"/>
          <w:szCs w:val="28"/>
          <w:lang w:val="en-US" w:eastAsia="zh-CN"/>
          <w14:textFill>
            <w14:solidFill>
              <w14:schemeClr w14:val="tx1"/>
            </w14:solidFill>
          </w14:textFill>
        </w:rPr>
        <w:t>四、培养目标与培养规格</w:t>
      </w:r>
      <w:r>
        <w:rPr>
          <w:rFonts w:hint="eastAsia" w:ascii="黑体" w:hAnsi="黑体" w:eastAsia="黑体" w:cs="黑体"/>
          <w:kern w:val="0"/>
          <w:sz w:val="28"/>
          <w:szCs w:val="28"/>
          <w:lang w:val="en-US" w:eastAsia="zh-CN" w:bidi="zh-CN"/>
        </w:rPr>
        <w:t xml:space="preserve"> </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楷体" w:eastAsia="楷体"/>
          <w:b/>
          <w:bCs/>
          <w:sz w:val="28"/>
          <w:szCs w:val="28"/>
        </w:rPr>
      </w:pPr>
      <w:r>
        <w:rPr>
          <w:rFonts w:hint="eastAsia" w:ascii="楷体" w:eastAsia="楷体"/>
          <w:b/>
          <w:bCs/>
          <w:sz w:val="28"/>
          <w:szCs w:val="28"/>
          <w:lang w:val="en-US" w:eastAsia="zh-CN"/>
        </w:rPr>
        <w:t xml:space="preserve">（一）培养目标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本专业培养践行社会主义核心价值观，德、智、体、美、劳全面发展，适应</w:t>
      </w:r>
      <w:r>
        <w:rPr>
          <w:rFonts w:hint="default" w:ascii="仿宋_GB2312" w:hAnsi="仿宋_GB2312" w:eastAsia="仿宋_GB2312" w:cs="仿宋_GB2312"/>
          <w:sz w:val="28"/>
          <w:szCs w:val="28"/>
          <w:lang w:val="en-US" w:eastAsia="zh-CN"/>
        </w:rPr>
        <w:t>社会主义现代化建设以及区域经济发展需要，面</w:t>
      </w:r>
      <w:r>
        <w:rPr>
          <w:rFonts w:hint="eastAsia" w:ascii="仿宋_GB2312" w:hAnsi="仿宋_GB2312" w:eastAsia="仿宋_GB2312" w:cs="仿宋_GB2312"/>
          <w:sz w:val="28"/>
          <w:szCs w:val="28"/>
          <w:lang w:val="en-US" w:eastAsia="zh-CN"/>
        </w:rPr>
        <w:t>向旅游及其相关</w:t>
      </w:r>
      <w:r>
        <w:rPr>
          <w:rFonts w:hint="default" w:ascii="仿宋_GB2312" w:hAnsi="仿宋_GB2312" w:eastAsia="仿宋_GB2312" w:cs="仿宋_GB2312"/>
          <w:sz w:val="28"/>
          <w:szCs w:val="28"/>
          <w:lang w:val="en-US" w:eastAsia="zh-CN"/>
        </w:rPr>
        <w:t>行业（产业）一线，掌</w:t>
      </w:r>
      <w:r>
        <w:rPr>
          <w:rFonts w:hint="eastAsia" w:ascii="仿宋_GB2312" w:hAnsi="仿宋_GB2312" w:eastAsia="仿宋_GB2312" w:cs="仿宋_GB2312"/>
          <w:sz w:val="28"/>
          <w:szCs w:val="28"/>
          <w:lang w:val="en-US" w:eastAsia="zh-CN"/>
        </w:rPr>
        <w:t>握旅游管理</w:t>
      </w:r>
      <w:r>
        <w:rPr>
          <w:rFonts w:hint="default" w:ascii="仿宋_GB2312" w:hAnsi="仿宋_GB2312" w:eastAsia="仿宋_GB2312" w:cs="仿宋_GB2312"/>
          <w:sz w:val="28"/>
          <w:szCs w:val="28"/>
          <w:lang w:val="en-US" w:eastAsia="zh-CN"/>
        </w:rPr>
        <w:t>的基础知识和专业技能，能够在</w:t>
      </w:r>
      <w:r>
        <w:rPr>
          <w:rFonts w:hint="eastAsia" w:ascii="仿宋_GB2312" w:hAnsi="仿宋_GB2312" w:eastAsia="仿宋_GB2312" w:cs="仿宋_GB2312"/>
          <w:sz w:val="28"/>
          <w:szCs w:val="28"/>
          <w:lang w:val="en-US" w:eastAsia="zh-CN"/>
        </w:rPr>
        <w:t>各类旅游企业、旅游行政管理部门、会展企业</w:t>
      </w:r>
      <w:r>
        <w:rPr>
          <w:rFonts w:hint="default" w:ascii="仿宋_GB2312" w:hAnsi="仿宋_GB2312" w:eastAsia="仿宋_GB2312" w:cs="仿宋_GB2312"/>
          <w:sz w:val="28"/>
          <w:szCs w:val="28"/>
          <w:lang w:val="en-US" w:eastAsia="zh-CN"/>
        </w:rPr>
        <w:t>（岗位）从事</w:t>
      </w:r>
      <w:r>
        <w:rPr>
          <w:rFonts w:hint="eastAsia" w:ascii="仿宋_GB2312" w:hAnsi="仿宋_GB2312" w:eastAsia="仿宋_GB2312" w:cs="仿宋_GB2312"/>
          <w:sz w:val="28"/>
          <w:szCs w:val="28"/>
          <w:lang w:val="en-US" w:eastAsia="zh-CN"/>
        </w:rPr>
        <w:t>管理</w:t>
      </w:r>
      <w:r>
        <w:rPr>
          <w:rFonts w:hint="default" w:ascii="仿宋_GB2312" w:hAnsi="仿宋_GB2312" w:eastAsia="仿宋_GB2312" w:cs="仿宋_GB2312"/>
          <w:sz w:val="28"/>
          <w:szCs w:val="28"/>
          <w:lang w:val="en-US" w:eastAsia="zh-CN"/>
        </w:rPr>
        <w:t>（工作）的技术技能型人才。</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楷体" w:eastAsia="楷体"/>
          <w:b/>
          <w:bCs/>
          <w:sz w:val="28"/>
          <w:szCs w:val="28"/>
          <w:lang w:val="en-US" w:eastAsia="zh-CN"/>
        </w:rPr>
      </w:pPr>
      <w:r>
        <w:rPr>
          <w:rFonts w:hint="eastAsia" w:ascii="楷体" w:eastAsia="楷体"/>
          <w:b/>
          <w:bCs/>
          <w:sz w:val="28"/>
          <w:szCs w:val="28"/>
          <w:lang w:val="en-US" w:eastAsia="zh-CN"/>
        </w:rPr>
        <w:t>（二）培养规格</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1.知识要求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（1）掌握旅行社管理方面的基础知识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（2）掌握酒店餐饮、客房、营销方面的基础知识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（3）了解景区开发和运营方面的基础知识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（4）了解会展策划、休闲旅游方面的基础知识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（5）掌握旅游政策法规方面的知识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（6）掌握旅游市场营销方面的基础知识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（7）掌握实际导游业务知识，尽力培养导游经验</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宋体" w:hAnsi="宋体" w:eastAsia="宋体" w:cs="宋体"/>
          <w:color w:val="000000"/>
          <w:kern w:val="0"/>
          <w:sz w:val="24"/>
          <w:szCs w:val="24"/>
          <w:lang w:val="en-US" w:eastAsia="zh-CN" w:bidi="ar"/>
        </w:rPr>
      </w:pPr>
      <w:r>
        <w:rPr>
          <w:rFonts w:hint="eastAsia" w:ascii="仿宋_GB2312" w:hAnsi="仿宋_GB2312" w:eastAsia="仿宋_GB2312" w:cs="仿宋_GB2312"/>
          <w:sz w:val="28"/>
          <w:szCs w:val="28"/>
          <w:lang w:val="en-US" w:eastAsia="zh-CN"/>
        </w:rPr>
        <w:t>（8）掌握旅游心理学方面的基础知识和人际关系学的基础知识</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宋体" w:hAnsi="宋体" w:eastAsia="宋体" w:cs="宋体"/>
          <w:color w:val="000000"/>
          <w:kern w:val="0"/>
          <w:sz w:val="24"/>
          <w:szCs w:val="24"/>
          <w:lang w:val="en-US" w:eastAsia="zh-CN" w:bidi="ar"/>
        </w:rPr>
      </w:pPr>
      <w:r>
        <w:rPr>
          <w:rFonts w:hint="eastAsia" w:ascii="仿宋_GB2312" w:hAnsi="仿宋_GB2312" w:eastAsia="仿宋_GB2312" w:cs="仿宋_GB2312"/>
          <w:b/>
          <w:bCs/>
          <w:sz w:val="28"/>
          <w:szCs w:val="28"/>
          <w:lang w:val="en-US" w:eastAsia="zh-CN"/>
        </w:rPr>
        <w:t>2.能力要求</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熟悉旅行社的设立和运作程序，对旅行社各个岗位比较熟悉，通过必要的旅游实习，能够在旅行社日常工作，具体导游实务方面，旅游计调，旅游外联以及旅游营销方面达到基本水平，能够从容的展开以上工作，形成这方面的能力。</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对饭店行业的发展及现状有所认识，通过必要的知识和实习准备，能够从容应对饭店前厅、餐厅、客房的日常工作，并对饭店的管理、营销、后勤系统有所了解，并逐步形成以上方面所需要的各项能力要求。</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熟悉旅游市场营销环境、旅游消费者市场和旅游业竞争环境，熟悉基本的市场营销知识，能够对旅游目标市场进行细分与定位，确定市场营销战略及营销组合，旅游产品定价及促销策略。形成实际旅游市场营销方面的各项能力。</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应通过自身不断地学习，掌握尽可能宽的知识面，同时通过必要的旅游实习，形成很强的人际关系能力，能够在工作岗位上与各种人员和谐相处，能够真正地服务好旅游客人，为自己以及所在单位带领良好的声誉。</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宋体" w:hAnsi="宋体" w:eastAsia="宋体" w:cs="宋体"/>
          <w:color w:val="000000"/>
          <w:kern w:val="0"/>
          <w:sz w:val="24"/>
          <w:szCs w:val="24"/>
          <w:lang w:val="en-US" w:eastAsia="zh-CN" w:bidi="ar"/>
        </w:rPr>
      </w:pPr>
      <w:r>
        <w:rPr>
          <w:rFonts w:hint="eastAsia" w:ascii="仿宋_GB2312" w:hAnsi="仿宋_GB2312" w:eastAsia="仿宋_GB2312" w:cs="仿宋_GB2312"/>
          <w:sz w:val="28"/>
          <w:szCs w:val="28"/>
          <w:lang w:val="en-US" w:eastAsia="zh-CN"/>
        </w:rPr>
        <w:t>（5）熟悉管理学的基本原理，并不断扩大管理学方面的知识，同时通过必要的旅行社或者饭店方面的实习，或者其他方面的具体工作经历，形成基本的管理能力，为以后在旅游行业的发展奠定一个坚实的基础。</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3.职业素养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正确的世界观、人生观和价值观。拥护中国共产党的领导，坚持走社会主义道路，努力学习马列主义、毛泽东思想、邓小平理论和“三个代表”重要思想，积极践行科学发展观，牢固确立实现中华民族伟大复兴的共同理想和坚定信念。</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（2）全面掌握专业知识。掌握旅游管理方面的基础理论知识，了解旅游行业的发展和运行规律，受到旅游经营管理方面基本技能训练，有较高的文化素养，具备以上在旅游行业就业所需的必备素质。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FZShuSong-Z01S" w:hAnsi="FZShuSong-Z01S" w:eastAsia="FZShuSong-Z01S" w:cs="FZShuSong-Z01S"/>
          <w:color w:val="000000"/>
          <w:kern w:val="0"/>
          <w:sz w:val="24"/>
          <w:szCs w:val="24"/>
          <w:lang w:val="en-US" w:eastAsia="zh-CN" w:bidi="ar"/>
        </w:rPr>
      </w:pPr>
      <w:r>
        <w:rPr>
          <w:rFonts w:hint="eastAsia" w:ascii="仿宋_GB2312" w:hAnsi="仿宋_GB2312" w:eastAsia="仿宋_GB2312" w:cs="仿宋_GB2312"/>
          <w:sz w:val="28"/>
          <w:szCs w:val="28"/>
          <w:lang w:val="en-US" w:eastAsia="zh-CN"/>
        </w:rPr>
        <w:t>（3）具有良好的身心素质。受到必要的军事训练，培养良好的体育锻炼和卫生习惯，具有强健的体魄。具有应对复杂工作的心理素质和吃苦耐劳的精神。</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560" w:firstLineChars="200"/>
        <w:jc w:val="left"/>
        <w:textAlignment w:val="auto"/>
        <w:outlineLvl w:val="9"/>
        <w:rPr>
          <w:rFonts w:hint="eastAsia" w:ascii="黑体" w:hAnsi="黑体" w:eastAsia="黑体" w:cs="黑体"/>
          <w:bCs/>
          <w:color w:val="000000" w:themeColor="text1"/>
          <w:kern w:val="0"/>
          <w:sz w:val="28"/>
          <w:szCs w:val="28"/>
          <w:lang w:val="en-US" w:eastAsia="zh-CN"/>
          <w14:textFill>
            <w14:solidFill>
              <w14:schemeClr w14:val="tx1"/>
            </w14:solidFill>
          </w14:textFill>
        </w:rPr>
      </w:pPr>
      <w:r>
        <w:rPr>
          <w:rFonts w:hint="eastAsia" w:ascii="黑体" w:hAnsi="黑体" w:eastAsia="黑体" w:cs="黑体"/>
          <w:bCs/>
          <w:color w:val="000000" w:themeColor="text1"/>
          <w:kern w:val="0"/>
          <w:sz w:val="28"/>
          <w:szCs w:val="28"/>
          <w:lang w:val="en-US" w:eastAsia="zh-CN"/>
          <w14:textFill>
            <w14:solidFill>
              <w14:schemeClr w14:val="tx1"/>
            </w14:solidFill>
          </w14:textFill>
        </w:rPr>
        <w:t xml:space="preserve">五、主干课程及简介 </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楷体" w:eastAsia="楷体"/>
          <w:b/>
          <w:bCs/>
          <w:sz w:val="28"/>
          <w:szCs w:val="28"/>
          <w:lang w:val="en-US" w:eastAsia="zh-CN"/>
        </w:rPr>
      </w:pPr>
      <w:r>
        <w:rPr>
          <w:rFonts w:hint="eastAsia" w:ascii="楷体" w:eastAsia="楷体"/>
          <w:b/>
          <w:bCs/>
          <w:sz w:val="28"/>
          <w:szCs w:val="28"/>
          <w:lang w:val="en-US" w:eastAsia="zh-CN"/>
        </w:rPr>
        <w:t xml:space="preserve">（一）公共基础课程 </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（1）军事理论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教学主要内容：中国国防；军事思想；战略环境；军事高技术；信息化战争。</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（2）思想道德与法治</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主要教学内容：人生的青春之问；坚定理想信念；弘扬中国精神；践行社会主义核心价值观；明大德守公德严私德；尊法学法守法用法；禁毒教育。</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（3）毛泽东思想和中国特色社会主义理论体系概论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全面概述了毛泽东思想、邓小平理论“三个代表”重要思想、习近平新时代中国特色社会主义思想的科学涵义、形成发展过程、科学体系、历史地位、指导意义、基本观点以及中国特色社会主义建设的路线方针政策。</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（4）形势与政策</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（5）大学英语</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（6）大学体育</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主要教学内容：体育理论、速度素质、耐力素质、力量素质、弹跳素质、兴趣项目、民族传统项目、素质练习与测验。</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（7）大学语文</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   元明清文学概述；《赠梁汾》(纳兰性德)；汤显祖与《牡丹亭•游园》；《红楼梦》与《宝玉挨打》；第七单元现当代文学   现当代文学概述；《更衣记》（张爱玲）；第八单元外国文学 外国文学概述；第九单元应用文写作校园篇 学术论文、消息；第十单元应用文写作求职篇 求职信、演讲词、申论 ；第十一单元应用文写作职场篇 国家行政机关公文处理办法、通知、通告、通报、请示、报告、函、广告文案。</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（9）职业生涯规划</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通过本课程的学习，帮助引导大学生树立科学的人生观和职业观，具备基本的职业能力和素养，为今后的职业生涯发展做好规划和准备，帮助大学生顺利走上工作岗位，初步完成从校园人相社会人的角色转变。</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主要教学内容：职业概述；求职材料的制作；求职面试礼仪及技巧；职业化塑造。</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教学基本要求：获得职业生涯发展规划的技巧，从而实现正确的自我认知，结合自身特点和社会需求，确立自己的职业目标，并以目标为导向，进行合理的自我塑造，走向成功的职业生涯。</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（10）创业与就业指导</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主要教学内容：生涯认知；生涯规划；探索自我兴趣和性格；探索自我能力和价值观；探索工作世界。</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（11）大学生心理健康教育</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（12）计算机应用基础</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课程目标：使学生进一步了解、掌握计算机应用基础知识，提高学生计算机基本操作、办公应用、网络应用、多媒体技术应用等方面的技能，使学生初步具有利用计算机解决学习、工作、生活中常见问题的能力。</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使学生能够根据职业需求运用计算机，体验利用计算机技术获取信息、处理信息、分析信息、发布信息的过程，逐渐养成独立思考、主动探究的学习方法，培养严谨的科学态度和团队协作意识。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使学生树立知识产权意识，了解并能够遵守社会公共道德规范和相关法律法规，自觉抵制不良信息，依法进行信息技术活动。</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562" w:firstLineChars="200"/>
        <w:jc w:val="left"/>
        <w:textAlignment w:val="auto"/>
        <w:rPr>
          <w:rFonts w:hint="eastAsia" w:ascii="楷体" w:eastAsia="楷体"/>
          <w:b/>
          <w:bCs/>
          <w:sz w:val="28"/>
          <w:szCs w:val="28"/>
          <w:lang w:val="en-US" w:eastAsia="zh-CN"/>
        </w:rPr>
      </w:pPr>
      <w:r>
        <w:rPr>
          <w:rFonts w:hint="eastAsia" w:ascii="楷体" w:eastAsia="楷体"/>
          <w:b/>
          <w:bCs/>
          <w:sz w:val="28"/>
          <w:szCs w:val="28"/>
          <w:lang w:val="en-US" w:eastAsia="zh-CN"/>
        </w:rPr>
        <w:t xml:space="preserve">（二）专业核心课程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1.《导游业务》</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导游服务领域方面的核心课程之一。本课程的主要内容包括导游与导游服务的基本概念、性质、特点，导游员的条件、作用，导游员职业道德等基础理论知识；也涵盖导游员工作程序、带团技巧和特殊问题和事故处理等专业实用技能。通过本课程的学习，使学生掌握导游服务的基本知识、质量标准、工作程序，了解导游员应具备的基本素质，明确导游服务的性质、特点、地位和作用，具备基本的导游技能，使之成为既有扎实理论基础、又有较强动手能力的专业型导游人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内容包括导游服务，导游人员，导游人员的职业道德，导游业务知识，导游服务程序，导游带团技能，导游语言技能，导游服务问题及事故的处理和预防，安全事故的处理和预防。本书前三章都属于《导游业务》基础部分，对导游服务的性质特点，导游人员应具备的条件和职业道德做了陈述。第四章就导游带团过程中必须掌握的相关业务知识进行了介绍。第五章是本书的重点和核心内容，系统的介绍了地陪导游服务规范要求，全陪和景区导游服务规范以及散客服务规范要求。第六，七章介绍了导游带团过程的技巧和语言方面的技巧，这些技巧的掌握对一名新上岗的导游人员至关重要。第八，九，章介绍导游服务中的事故，安全事故，证件丢失等方面的预防和处理，这三章是本书中的难点，需要大量案例来辅助学习。</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通过教学，使学生掌握导游服务的基本知识、质量标准、工作程序，了解导游员应具备的基本素质，明确导游服务的性质、特点、地位和作用，具备基本的导游技能，使之成为既有较扎实理论基础、又有较强动手能力的专业型导游人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2.《旅游政策法规》</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属于导游服务领域的核心课程之一，是考取导游证的必考科目。本课程的主要内容包括旅游法规基本常识、合同法律制度、公司企业法律制度、反不正当竞争法律制度、旅行社管理法规制度、导游人员管理法规制度、旅游住宿业管理法规制度、旅游出入境管理法律制度、旅游资源管理法律制度、旅游安全管理规章制度、旅行社责任保险制度、消费者权益保护法律制度、食品卫生管理法律制度、旅游交通管理法律、法规制度、旅游投诉管理法规制度。通过本课程的学习，使学生能以法律的眼光去认识正在不断发展的旅游市场，提高学生的知识面和综合分析能力，并能在后续专业学习和实践当中不断总结和提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教学内容：旅游法规及其调整对象，旅游法律关系，旅游法的渊源，旅游法律责任，旅游管理体制，旅游管理体制概述，部分国家旅游管理体制简介。</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通过该课程的学习，理解我国建设中国特色的社会主义的基本理论、方针政策和我国经济社会发展战略；熟悉我国旅游立法、旅游法律关系、旅游合同法律制度；熟悉和掌握宪法、民族区域自治制度与《民族区域自治法》；掌握旅行社管理法律法规制度、导游人员管理法律法规制度、旅游安全管理法律法规制度、旅游保险法律法规制度、旅游出入境法律法规制度、旅游交通运输法律制度、旅游食宿安全管理法律法规制度、旅游资源管理法律法规制度、保护旅游消费者权益法律制度、旅游投诉管理法规制度等法律法规知识，为参加导游资格证考试打下良好政策法规基础，同时提升学生在今后从事旅游事业时的知识积淀和解决问题能力，更好地服务于地方旅游事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3.《中国旅游地理》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旅游管理专业的一门重要的专业基础课程。中国旅游地理是研究人类的旅游活动与我国地理环境及社会经济发展相互关系的一门科学。主要内容：本课程主要内容包括旅游地理学科的基本理论和方法,中国旅游资源的基本特征和时空分布及其形成的原因，各分区最具特色的优势旅游资源，主要旅游区和景点及其旅游价值以及重要旅游线路，从而全面认识中国旅游国情,深刻理解旅游兴国战略,树立为中国旅游业发展贡献力量的信念。通过本课程的教学,培养学生的创新精神,提高学生的专业素质与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教学内容：山地景观，水域风光，生物景观，气象气候景观，历史古迹与建筑，民俗风情旅游资源，文艺学术旅游资源。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在保证该课程教学的科学性和系统性的前提下，着重突出旅游地理学的实用性。有关本课程的基本概念、基本知识和基本原理，作为教学的重点内容，要求学生牢固掌握并熟练运用。坚持理论密切联系实际。讲授时，尽可能借助中国旅游地理中的一些典型实例，深入浅出地阐明其基本特点，旨在拓开学生的思路，并积极引导学生将主要精力放在熟知中国各类旅游资源的特色上。教学要求课堂讲授实行启发式，力求做到少而精，突出重点，并注意将培养和提高学生的分析问题和解决问题的能力放在重要位置。坚持课程教学实习是本门课程的关键。在教学过程中，将根据正常教学进度安排到旅游景区进行教学实习，布置相应的实习作业。</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4.《前厅客房服务与管理》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旅游管理专业的一门职业专门能力核心课程。本课程的主要内容包括前厅客房预订管理、接待服务管理、销售管理、信息管理、宾客关系管理、前厅服务质量管理等内容；客房管理部分主要阐述了客房设计、客房清洁保养管理、客房服务管理、客房安全管理、客房设备用品管理与成本控制、客房部人力资源管理、投诉、会议组织。通过本课程的学习，提高学生酒店经营过程中实务操作能力，促进学生接待宾客、与客沟通、处理投诉及突发事件和会议组织与安排等酒店业务能力和经营管理能力的提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教学内容：管理学、饭店管理学、公共关系学、旅游社交礼仪，客房预订，前厅接待工作服务，前厅总计工作服务。</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本课程是旅游管理专业的一门职业专门能力核心课程，其目的是使学生在学习客房预订、迎客接待、行李服务、前台接待、总机服务、商务服务、客房清洁及服务和私人管家服务等实务操作程序与规程过程中，切实掌握酒店学基本知识、基本理论及酒店前厅与客房服务的国内外最新动态和前沿知识，在培养学生酒店经营过程中实务操作能力的同时，促进学生接待宾客、与客沟通、处理投诉及突发事件和会议组织与安排等酒店业务能力和经营管理能力的提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5.《旅行社经营管理》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旅游管理专业的专业必修课程，也是本专业的理论基础课程之一。本课程以旅行社的经营管理为核心，重点介绍了旅行社在现代旅游业中的地位和作用，主要内容是介绍旅行社的产品管理、营销管理、技术管理和内部职能管理，另外对旅行社的战略管理和旅行社未来的发展趋势也做了介绍。通过本课程的学习，使学生具备旅行社计调、外联、导游、门市接待及财务等方面的基本知识和技能，培养与业界同行、相关业务单位沟通的能力和处理突发事件的能力，从而能够更好的就业和发展。</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教学内容：旅游产业及旅行社的发展进程，旅行社的性质和职能，旅行社管理的要素、方法和体系，管理理念的内涵与管理角色的定位，管理者的企业服务观。</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本课程是高等院校旅游管理类专业本科层次专业课；也适用于旅游管理专业专科层次的教学，但在教学内容上可作适当删减与调整。通过教学让学生了解旅行社的基本理论和基本概念，分析影响旅行社设立的内外部因素，重点掌握有关旅行社的产品开发、线路设计、促销、客源组织与接待等各项业务的具体操作与项目经营管理策略，了解我国旅行社的发展现状及今后的发展方向。同时，强化学生对课堂理论的理解与应用，以提高学生的专业操作技能和综合素质。培养学生针对目前中国旅行社业的现状，提出问题、分析问题的能力。</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6.《旅游心理学》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color w:val="auto"/>
          <w:sz w:val="28"/>
          <w:szCs w:val="28"/>
          <w:lang w:val="en-US" w:eastAsia="zh-CN"/>
        </w:rPr>
        <w:t>是旅游管理专业的专业核心课，是该专业学生了解旅游者和旅游从业人员心理特点和行为规律、学习旅游管理相关课程的理论课程，并且对学生未来的工作实践具有指导意义。旅游心理学的研究范围包括旅游者和旅游从业人员在旅游活动的整个过程和旅游活动的方方面面所表现出来的心理活动及其行为规律。课程从三方面展开;旅游消费心理、旅游服务心理、旅游管理心理。</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教学内容：该课程主要包括旅游心理学引论、旅游者心理、旅游企业管理心理、旅游企业服务心理等内容。</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教学要求：</w:t>
      </w:r>
      <w:r>
        <w:rPr>
          <w:rFonts w:hint="eastAsia" w:ascii="仿宋_GB2312" w:hAnsi="仿宋_GB2312" w:eastAsia="仿宋_GB2312" w:cs="仿宋_GB2312"/>
          <w:color w:val="auto"/>
          <w:sz w:val="28"/>
          <w:szCs w:val="28"/>
          <w:lang w:val="en-US" w:eastAsia="zh-CN"/>
        </w:rPr>
        <w:t>该课程的目标是使学生了解旅游者和旅游从业人员的心理特点和行为规律，掌握心理学基本原理，并且理论与实践相结合，学会运用相关理论观察并分析旅游活动主体的行为规律，并进一步指导旅游经营管理的实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旅游市场营销</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课程目标：该课程是旅游管理专业的一门职业专门能力核心课程。本课程的主要内容包括旅游市场营销概述、调研与预测、环境分析、旅游者购买行为分析、旅游目标市场营销、旅游产品策略、旅游产品价格策略、旅游营销渠道策略、旅游产品促销策略、旅游目的地营销和旅游网络营销。</w:t>
      </w:r>
      <w:r>
        <w:rPr>
          <w:rFonts w:hint="default" w:ascii="仿宋" w:hAnsi="仿宋" w:eastAsia="仿宋" w:cs="仿宋"/>
          <w:sz w:val="28"/>
          <w:szCs w:val="28"/>
          <w:lang w:val="en-US" w:eastAsia="zh-CN"/>
        </w:rPr>
        <w:t>通过本课程的学习</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使学生掌握旅游市场</w:t>
      </w:r>
      <w:r>
        <w:rPr>
          <w:rFonts w:hint="eastAsia" w:ascii="仿宋" w:hAnsi="仿宋" w:eastAsia="仿宋" w:cs="仿宋"/>
          <w:sz w:val="28"/>
          <w:szCs w:val="28"/>
          <w:lang w:val="en-US" w:eastAsia="zh-CN"/>
        </w:rPr>
        <w:t>营销</w:t>
      </w:r>
      <w:r>
        <w:rPr>
          <w:rFonts w:hint="default" w:ascii="仿宋" w:hAnsi="仿宋" w:eastAsia="仿宋" w:cs="仿宋"/>
          <w:sz w:val="28"/>
          <w:szCs w:val="28"/>
          <w:lang w:val="en-US" w:eastAsia="zh-CN"/>
        </w:rPr>
        <w:t>学的系统知识结构</w:t>
      </w:r>
      <w:r>
        <w:rPr>
          <w:rFonts w:hint="eastAsia" w:ascii="仿宋" w:hAnsi="仿宋" w:eastAsia="仿宋" w:cs="仿宋"/>
          <w:sz w:val="28"/>
          <w:szCs w:val="28"/>
          <w:lang w:val="en-US" w:eastAsia="zh-CN"/>
        </w:rPr>
        <w:t>，了解旅游市场营销战略及各种营销工具在旅游业中的应用。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教学内容：市场营销、调研与预测、旅游消费者行为、旅游财务管理、旅游目的地管理、旅游商品学、旅游电子商务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 w:hAnsi="仿宋" w:eastAsia="仿宋" w:cs="仿宋"/>
          <w:sz w:val="28"/>
          <w:szCs w:val="28"/>
          <w:lang w:val="en-US" w:eastAsia="zh-CN"/>
        </w:rPr>
        <w:t>教学要求：本课程是旅游管理专业的一门职业专门能力核心课程。</w:t>
      </w:r>
      <w:r>
        <w:rPr>
          <w:rFonts w:hint="default" w:ascii="仿宋" w:hAnsi="仿宋" w:eastAsia="仿宋" w:cs="仿宋"/>
          <w:sz w:val="28"/>
          <w:szCs w:val="28"/>
          <w:lang w:val="en-US" w:eastAsia="zh-CN"/>
        </w:rPr>
        <w:t>通过本课程的学习</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使学生掌握旅游市场</w:t>
      </w:r>
      <w:r>
        <w:rPr>
          <w:rFonts w:hint="eastAsia" w:ascii="仿宋" w:hAnsi="仿宋" w:eastAsia="仿宋" w:cs="仿宋"/>
          <w:sz w:val="28"/>
          <w:szCs w:val="28"/>
          <w:lang w:val="en-US" w:eastAsia="zh-CN"/>
        </w:rPr>
        <w:t>营销</w:t>
      </w:r>
      <w:r>
        <w:rPr>
          <w:rFonts w:hint="default" w:ascii="仿宋" w:hAnsi="仿宋" w:eastAsia="仿宋" w:cs="仿宋"/>
          <w:sz w:val="28"/>
          <w:szCs w:val="28"/>
          <w:lang w:val="en-US" w:eastAsia="zh-CN"/>
        </w:rPr>
        <w:t>的系统知识结构。具体来说</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要求学生</w:t>
      </w:r>
      <w:r>
        <w:rPr>
          <w:rFonts w:hint="eastAsia" w:ascii="仿宋" w:hAnsi="仿宋" w:eastAsia="仿宋" w:cs="仿宋"/>
          <w:sz w:val="28"/>
          <w:szCs w:val="28"/>
          <w:lang w:val="en-US" w:eastAsia="zh-CN"/>
        </w:rPr>
        <w:t>掌握</w:t>
      </w:r>
      <w:r>
        <w:rPr>
          <w:rFonts w:hint="default" w:ascii="仿宋" w:hAnsi="仿宋" w:eastAsia="仿宋" w:cs="仿宋"/>
          <w:sz w:val="28"/>
          <w:szCs w:val="28"/>
          <w:lang w:val="en-US" w:eastAsia="zh-CN"/>
        </w:rPr>
        <w:t>对市场营销观念和旅游市场营销特点的分析。</w:t>
      </w:r>
      <w:r>
        <w:rPr>
          <w:rFonts w:hint="eastAsia" w:ascii="仿宋" w:hAnsi="仿宋" w:eastAsia="仿宋" w:cs="仿宋"/>
          <w:sz w:val="28"/>
          <w:szCs w:val="28"/>
          <w:lang w:val="en-US" w:eastAsia="zh-CN"/>
        </w:rPr>
        <w:t>在学习过程中，不仅要将教材所涉及的内容传授给学生，还要对现实中出现的新情况、新问题进行分析，有效提高学生对理论的学习和理解，增进课程学习的思想性和前瞻性，增强学生分析问题和解决问题的能力。</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他专业课：以上课程设定为专业核心课，除此之外，另开设《旅游学概论》、《中国饮食文化》、《管理学基础》、《导游基础知识》等专业基础课程，以扩充和完整本专业所应具有的专业素质，开阔学生面对现代旅游业发展的视野，更好的适应职场的实用性要求。</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黑体" w:hAnsi="黑体" w:eastAsia="黑体" w:cs="黑体"/>
          <w:bCs/>
          <w:color w:val="000000" w:themeColor="text1"/>
          <w:kern w:val="0"/>
          <w:sz w:val="28"/>
          <w:szCs w:val="28"/>
          <w:lang w:val="en-US" w:eastAsia="zh-CN"/>
          <w14:textFill>
            <w14:solidFill>
              <w14:schemeClr w14:val="tx1"/>
            </w14:solidFill>
          </w14:textFill>
        </w:rPr>
      </w:pPr>
      <w:r>
        <w:rPr>
          <w:rFonts w:hint="eastAsia" w:ascii="黑体" w:hAnsi="黑体" w:eastAsia="黑体" w:cs="黑体"/>
          <w:bCs/>
          <w:color w:val="000000" w:themeColor="text1"/>
          <w:kern w:val="0"/>
          <w:sz w:val="28"/>
          <w:szCs w:val="28"/>
          <w:lang w:val="en-US" w:eastAsia="zh-CN"/>
          <w14:textFill>
            <w14:solidFill>
              <w14:schemeClr w14:val="tx1"/>
            </w14:solidFill>
          </w14:textFill>
        </w:rPr>
        <w:t>六、各类课程学时</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各类课程学时分配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课程类别/课程性质</w:t>
            </w:r>
          </w:p>
        </w:tc>
        <w:tc>
          <w:tcPr>
            <w:tcW w:w="197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必修（学时）</w:t>
            </w:r>
          </w:p>
        </w:tc>
        <w:tc>
          <w:tcPr>
            <w:tcW w:w="202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选修（学时）</w:t>
            </w:r>
          </w:p>
        </w:tc>
        <w:tc>
          <w:tcPr>
            <w:tcW w:w="191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公共基础课</w:t>
            </w:r>
          </w:p>
        </w:tc>
        <w:tc>
          <w:tcPr>
            <w:tcW w:w="1977" w:type="dxa"/>
            <w:vAlign w:val="center"/>
          </w:tcPr>
          <w:p>
            <w:pPr>
              <w:widowControl/>
              <w:spacing w:line="500" w:lineRule="exact"/>
              <w:jc w:val="center"/>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sz w:val="24"/>
                <w:szCs w:val="24"/>
                <w:lang w:val="en-US" w:eastAsia="zh-CN" w:bidi="ar"/>
              </w:rPr>
              <w:t>624</w:t>
            </w:r>
          </w:p>
        </w:tc>
        <w:tc>
          <w:tcPr>
            <w:tcW w:w="2023" w:type="dxa"/>
            <w:vAlign w:val="center"/>
          </w:tcPr>
          <w:p>
            <w:pPr>
              <w:widowControl/>
              <w:spacing w:line="500" w:lineRule="exact"/>
              <w:jc w:val="center"/>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sz w:val="24"/>
                <w:szCs w:val="24"/>
                <w:lang w:val="en-US" w:eastAsia="zh-CN" w:bidi="ar"/>
              </w:rPr>
              <w:t>192</w:t>
            </w:r>
          </w:p>
        </w:tc>
        <w:tc>
          <w:tcPr>
            <w:tcW w:w="1919" w:type="dxa"/>
            <w:vAlign w:val="center"/>
          </w:tcPr>
          <w:p>
            <w:pPr>
              <w:widowControl/>
              <w:spacing w:line="500" w:lineRule="exact"/>
              <w:jc w:val="center"/>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sz w:val="24"/>
                <w:szCs w:val="24"/>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专业课</w:t>
            </w:r>
          </w:p>
        </w:tc>
        <w:tc>
          <w:tcPr>
            <w:tcW w:w="197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696</w:t>
            </w:r>
          </w:p>
        </w:tc>
        <w:tc>
          <w:tcPr>
            <w:tcW w:w="202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ind w:left="0" w:leftChars="0" w:right="0" w:rightChars="0"/>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96</w:t>
            </w:r>
          </w:p>
        </w:tc>
        <w:tc>
          <w:tcPr>
            <w:tcW w:w="191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综合实践课</w:t>
            </w:r>
          </w:p>
        </w:tc>
        <w:tc>
          <w:tcPr>
            <w:tcW w:w="197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1112</w:t>
            </w:r>
          </w:p>
        </w:tc>
        <w:tc>
          <w:tcPr>
            <w:tcW w:w="202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ind w:left="0" w:leftChars="0" w:right="0" w:rightChars="0"/>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p>
        </w:tc>
        <w:tc>
          <w:tcPr>
            <w:tcW w:w="191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合计</w:t>
            </w:r>
          </w:p>
        </w:tc>
        <w:tc>
          <w:tcPr>
            <w:tcW w:w="197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2432</w:t>
            </w:r>
          </w:p>
        </w:tc>
        <w:tc>
          <w:tcPr>
            <w:tcW w:w="202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288</w:t>
            </w:r>
          </w:p>
        </w:tc>
        <w:tc>
          <w:tcPr>
            <w:tcW w:w="191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2720</w:t>
            </w:r>
          </w:p>
        </w:tc>
      </w:tr>
    </w:tbl>
    <w:p>
      <w:pPr>
        <w:keepNext w:val="0"/>
        <w:keepLines w:val="0"/>
        <w:pageBreakBefore w:val="0"/>
        <w:widowControl/>
        <w:suppressLineNumbers w:val="0"/>
        <w:kinsoku/>
        <w:wordWrap/>
        <w:overflowPunct/>
        <w:topLinePunct w:val="0"/>
        <w:autoSpaceDE w:val="0"/>
        <w:autoSpaceDN w:val="0"/>
        <w:bidi w:val="0"/>
        <w:adjustRightInd/>
        <w:snapToGrid/>
        <w:spacing w:line="500" w:lineRule="exact"/>
        <w:jc w:val="center"/>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各类课程学时比例</w:t>
      </w:r>
      <w:r>
        <w:rPr>
          <w:rFonts w:hint="eastAsia" w:ascii="宋体" w:hAnsi="宋体" w:eastAsia="宋体" w:cs="宋体"/>
          <w:color w:val="000000"/>
          <w:kern w:val="0"/>
          <w:sz w:val="24"/>
          <w:szCs w:val="24"/>
          <w:lang w:val="en-US" w:eastAsia="zh-CN" w:bidi="ar"/>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3975"/>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7"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课程组成</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必修课</w:t>
            </w: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公共必修课</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专业必修课</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综合实践课</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选修课</w:t>
            </w: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公共、专业选修课（含限选和任选）</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公共课</w:t>
            </w: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公共必修课</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公共选修课（含限选和任选）</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实践教学</w:t>
            </w: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auto"/>
                <w:kern w:val="0"/>
                <w:sz w:val="24"/>
                <w:szCs w:val="24"/>
                <w:vertAlign w:val="baseline"/>
                <w:lang w:val="en-US" w:eastAsia="zh-CN" w:bidi="ar"/>
              </w:rPr>
            </w:pPr>
            <w:r>
              <w:rPr>
                <w:rFonts w:hint="eastAsia" w:ascii="仿宋_GB2312" w:hAnsi="仿宋_GB2312" w:eastAsia="仿宋_GB2312" w:cs="仿宋_GB2312"/>
                <w:color w:val="auto"/>
                <w:kern w:val="0"/>
                <w:sz w:val="24"/>
                <w:szCs w:val="24"/>
                <w:vertAlign w:val="baseline"/>
                <w:lang w:val="en-US" w:eastAsia="zh-CN" w:bidi="ar"/>
              </w:rPr>
              <w:t>必修课（实验+上机+实践）</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p>
        </w:tc>
        <w:tc>
          <w:tcPr>
            <w:tcW w:w="39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综合实践课</w:t>
            </w:r>
          </w:p>
        </w:tc>
        <w:tc>
          <w:tcPr>
            <w:tcW w:w="255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00" w:lineRule="exact"/>
              <w:jc w:val="center"/>
              <w:textAlignment w:val="auto"/>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41%</w:t>
            </w:r>
          </w:p>
        </w:tc>
      </w:tr>
    </w:tbl>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bCs/>
          <w:color w:val="000000" w:themeColor="text1"/>
          <w:kern w:val="0"/>
          <w:sz w:val="28"/>
          <w:szCs w:val="28"/>
          <w:lang w:val="en-US" w:eastAsia="zh-CN"/>
          <w14:textFill>
            <w14:solidFill>
              <w14:schemeClr w14:val="tx1"/>
            </w14:solidFill>
          </w14:textFill>
        </w:rPr>
        <w:t xml:space="preserve">    七、毕业要求</w:t>
      </w:r>
      <w:r>
        <w:rPr>
          <w:rFonts w:hint="eastAsia" w:ascii="黑体" w:hAnsi="黑体" w:eastAsia="黑体" w:cs="黑体"/>
          <w:kern w:val="0"/>
          <w:sz w:val="28"/>
          <w:szCs w:val="28"/>
          <w:lang w:val="en-US" w:eastAsia="zh-CN" w:bidi="zh-CN"/>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宋体" w:hAnsi="宋体" w:eastAsia="宋体" w:cs="宋体"/>
          <w:color w:val="000000"/>
          <w:kern w:val="0"/>
          <w:sz w:val="24"/>
          <w:szCs w:val="24"/>
          <w:lang w:val="en-US" w:eastAsia="zh-CN" w:bidi="ar"/>
        </w:rPr>
        <w:t xml:space="preserve">    </w:t>
      </w:r>
      <w:r>
        <w:rPr>
          <w:rFonts w:hint="eastAsia" w:ascii="仿宋_GB2312" w:hAnsi="仿宋_GB2312" w:eastAsia="仿宋_GB2312" w:cs="仿宋_GB2312"/>
          <w:sz w:val="28"/>
          <w:szCs w:val="28"/>
          <w:lang w:val="en-US" w:eastAsia="zh-CN"/>
        </w:rPr>
        <w:t>修业期满，符合国家和学校相关规定，修读完人才培养方案规定的课程，成</w:t>
      </w:r>
      <w:r>
        <w:rPr>
          <w:rFonts w:hint="default" w:ascii="仿宋_GB2312" w:hAnsi="仿宋_GB2312" w:eastAsia="仿宋_GB2312" w:cs="仿宋_GB2312"/>
          <w:sz w:val="28"/>
          <w:szCs w:val="28"/>
          <w:lang w:val="en-US" w:eastAsia="zh-CN"/>
        </w:rPr>
        <w:t>绩合格，方予毕业。</w:t>
      </w:r>
    </w:p>
    <w:p>
      <w:pPr>
        <w:spacing w:line="550" w:lineRule="exact"/>
        <w:ind w:firstLine="560" w:firstLineChars="200"/>
        <w:outlineLvl w:val="0"/>
        <w:rPr>
          <w:rFonts w:hint="default" w:ascii="宋体" w:hAnsi="宋体" w:eastAsia="宋体" w:cs="宋体"/>
          <w:color w:val="000000"/>
          <w:kern w:val="0"/>
          <w:sz w:val="24"/>
          <w:szCs w:val="24"/>
          <w:lang w:val="en-US" w:eastAsia="zh-CN" w:bidi="ar"/>
        </w:rPr>
        <w:sectPr>
          <w:footerReference r:id="rId3" w:type="default"/>
          <w:pgSz w:w="11906" w:h="16838"/>
          <w:pgMar w:top="2098" w:right="1474" w:bottom="1984" w:left="1587" w:header="851" w:footer="992" w:gutter="0"/>
          <w:pgNumType w:fmt="decimal"/>
          <w:cols w:space="0" w:num="1"/>
          <w:rtlGutter w:val="0"/>
          <w:docGrid w:type="lines" w:linePitch="316" w:charSpace="0"/>
        </w:sectPr>
      </w:pPr>
      <w:bookmarkStart w:id="0" w:name="_Toc8425"/>
      <w:bookmarkStart w:id="1" w:name="_Toc30124"/>
      <w:bookmarkStart w:id="2" w:name="_Toc18405"/>
      <w:bookmarkStart w:id="3" w:name="_Toc6972"/>
      <w:r>
        <w:rPr>
          <w:rFonts w:hint="eastAsia" w:ascii="黑体" w:hAnsi="黑体" w:eastAsia="黑体" w:cs="黑体"/>
          <w:bCs/>
          <w:color w:val="000000" w:themeColor="text1"/>
          <w:kern w:val="0"/>
          <w:sz w:val="28"/>
          <w:szCs w:val="28"/>
          <w:lang w:val="en-US" w:eastAsia="zh-CN"/>
          <w14:textFill>
            <w14:solidFill>
              <w14:schemeClr w14:val="tx1"/>
            </w14:solidFill>
          </w14:textFill>
        </w:rPr>
        <w:t>八、</w:t>
      </w:r>
      <w:r>
        <w:rPr>
          <w:rFonts w:hint="eastAsia" w:ascii="黑体" w:hAnsi="黑体" w:eastAsia="黑体" w:cs="黑体"/>
          <w:bCs/>
          <w:color w:val="000000" w:themeColor="text1"/>
          <w:sz w:val="28"/>
          <w:szCs w:val="28"/>
          <w:lang w:val="en-US"/>
          <w14:textFill>
            <w14:solidFill>
              <w14:schemeClr w14:val="tx1"/>
            </w14:solidFill>
          </w14:textFill>
        </w:rPr>
        <w:t>教学计划进程计划表</w:t>
      </w:r>
      <w:bookmarkEnd w:id="0"/>
      <w:bookmarkEnd w:id="1"/>
      <w:bookmarkEnd w:id="2"/>
      <w:bookmarkEnd w:id="3"/>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both"/>
        <w:textAlignment w:val="auto"/>
        <w:outlineLvl w:val="9"/>
        <w:rPr>
          <w:rFonts w:hint="eastAsia" w:ascii="黑体" w:hAnsi="黑体" w:eastAsia="黑体" w:cs="黑体"/>
          <w:kern w:val="0"/>
          <w:sz w:val="28"/>
          <w:szCs w:val="28"/>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center"/>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kern w:val="0"/>
          <w:sz w:val="28"/>
          <w:szCs w:val="28"/>
          <w:lang w:val="en-US" w:eastAsia="zh-CN" w:bidi="zh-CN"/>
        </w:rPr>
        <w:t>旅游管理专业教学进程计划</w:t>
      </w:r>
    </w:p>
    <w:tbl>
      <w:tblPr>
        <w:tblStyle w:val="6"/>
        <w:tblW w:w="14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375"/>
        <w:gridCol w:w="1357"/>
        <w:gridCol w:w="1254"/>
        <w:gridCol w:w="3227"/>
        <w:gridCol w:w="537"/>
        <w:gridCol w:w="538"/>
        <w:gridCol w:w="599"/>
        <w:gridCol w:w="525"/>
        <w:gridCol w:w="568"/>
        <w:gridCol w:w="471"/>
        <w:gridCol w:w="564"/>
        <w:gridCol w:w="570"/>
        <w:gridCol w:w="485"/>
        <w:gridCol w:w="499"/>
        <w:gridCol w:w="433"/>
        <w:gridCol w:w="450"/>
        <w:gridCol w:w="410"/>
        <w:gridCol w:w="338"/>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78" w:type="dxa"/>
            <w:gridSpan w:val="3"/>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课程</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类别</w:t>
            </w:r>
          </w:p>
        </w:tc>
        <w:tc>
          <w:tcPr>
            <w:tcW w:w="1254"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课程代码</w:t>
            </w:r>
          </w:p>
        </w:tc>
        <w:tc>
          <w:tcPr>
            <w:tcW w:w="3227"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课程名称</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考核方式</w:t>
            </w:r>
          </w:p>
        </w:tc>
        <w:tc>
          <w:tcPr>
            <w:tcW w:w="599"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学分</w:t>
            </w:r>
          </w:p>
        </w:tc>
        <w:tc>
          <w:tcPr>
            <w:tcW w:w="52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总学时</w:t>
            </w:r>
          </w:p>
        </w:tc>
        <w:tc>
          <w:tcPr>
            <w:tcW w:w="2173" w:type="dxa"/>
            <w:gridSpan w:val="4"/>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学时分配</w:t>
            </w:r>
          </w:p>
        </w:tc>
        <w:tc>
          <w:tcPr>
            <w:tcW w:w="984"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第一学年</w:t>
            </w:r>
          </w:p>
        </w:tc>
        <w:tc>
          <w:tcPr>
            <w:tcW w:w="883"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第二学年</w:t>
            </w:r>
          </w:p>
        </w:tc>
        <w:tc>
          <w:tcPr>
            <w:tcW w:w="748"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第三学年</w:t>
            </w:r>
          </w:p>
        </w:tc>
        <w:tc>
          <w:tcPr>
            <w:tcW w:w="98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开课</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78" w:type="dxa"/>
            <w:gridSpan w:val="3"/>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22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考试</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考查</w:t>
            </w:r>
          </w:p>
        </w:tc>
        <w:tc>
          <w:tcPr>
            <w:tcW w:w="599"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2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理论</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实验</w:t>
            </w: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上机</w:t>
            </w: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实践</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1</w:t>
            </w: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2</w:t>
            </w: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3</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4</w:t>
            </w: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5</w:t>
            </w: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6</w:t>
            </w:r>
          </w:p>
        </w:tc>
        <w:tc>
          <w:tcPr>
            <w:tcW w:w="98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公</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共</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基</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础</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课</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程</w:t>
            </w:r>
          </w:p>
        </w:tc>
        <w:tc>
          <w:tcPr>
            <w:tcW w:w="37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必修</w:t>
            </w:r>
          </w:p>
        </w:tc>
        <w:tc>
          <w:tcPr>
            <w:tcW w:w="1357"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思想政治理论课</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文化课</w:t>
            </w: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000001G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思想道德与法治</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48</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16</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000011G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64</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48</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形势与政策</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1-4</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16</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12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4</w:t>
            </w:r>
          </w:p>
        </w:tc>
        <w:tc>
          <w:tcPr>
            <w:tcW w:w="1867" w:type="dxa"/>
            <w:gridSpan w:val="4"/>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4</w:t>
            </w: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3</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48</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32</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eastAsia="zh-CN" w:bidi="ar"/>
              </w:rPr>
              <w:t>16</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2</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000002G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计算机应用基础</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000003G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职业生涯规划</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职业素养课</w:t>
            </w: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000013G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大学生心理健康教育</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000043G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创业与就业指导</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5</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16</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16</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000004G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大学语文</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highlight w:val="none"/>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highlight w:val="none"/>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000005G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Ⅰ</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60</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highlight w:val="none"/>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highlight w:val="none"/>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文化课</w:t>
            </w: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000015G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Ⅱ</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60</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000007G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Ⅰ</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000017G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Ⅱ</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default"/>
                <w:kern w:val="2"/>
              </w:rPr>
            </w:pPr>
            <w:r>
              <w:rPr>
                <w:rFonts w:hint="eastAsia" w:ascii="仿宋_GB2312" w:hAnsi="仿宋_GB2312" w:eastAsia="仿宋_GB2312" w:cs="仿宋_GB2312"/>
                <w:color w:val="000000"/>
                <w:sz w:val="15"/>
                <w:szCs w:val="15"/>
                <w:lang w:val="en-US" w:bidi="ar"/>
              </w:rPr>
              <w:t>2</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000027G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Ⅲ</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default"/>
                <w:kern w:val="2"/>
              </w:rPr>
            </w:pPr>
            <w:r>
              <w:rPr>
                <w:rFonts w:hint="eastAsia" w:ascii="仿宋_GB2312" w:hAnsi="仿宋_GB2312" w:eastAsia="仿宋_GB2312" w:cs="仿宋_GB2312"/>
                <w:color w:val="000000"/>
                <w:sz w:val="15"/>
                <w:szCs w:val="15"/>
                <w:lang w:val="en-US" w:bidi="ar"/>
              </w:rPr>
              <w:t>3</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000008G</w:t>
            </w:r>
          </w:p>
        </w:tc>
        <w:tc>
          <w:tcPr>
            <w:tcW w:w="322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军事理论</w:t>
            </w:r>
          </w:p>
        </w:tc>
        <w:tc>
          <w:tcPr>
            <w:tcW w:w="537"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widowControl/>
              <w:spacing w:line="320" w:lineRule="exact"/>
              <w:jc w:val="center"/>
              <w:rPr>
                <w:rFonts w:hint="default"/>
                <w:kern w:val="2"/>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85"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33"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41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widowControl/>
              <w:spacing w:line="320" w:lineRule="exact"/>
              <w:jc w:val="center"/>
              <w:rPr>
                <w:rFonts w:hint="eastAsia" w:ascii="仿宋_GB2312" w:hAnsi="仿宋_GB2312" w:eastAsia="仿宋_GB2312" w:cs="仿宋_GB2312"/>
                <w:color w:val="000000"/>
                <w:kern w:val="0"/>
                <w:sz w:val="15"/>
                <w:szCs w:val="15"/>
                <w:vertAlign w:val="baseline"/>
                <w:lang w:val="en-US" w:eastAsia="zh-CN" w:bidi="ar"/>
              </w:rPr>
            </w:pPr>
          </w:p>
        </w:tc>
        <w:tc>
          <w:tcPr>
            <w:tcW w:w="3227" w:type="dxa"/>
            <w:vAlign w:val="center"/>
          </w:tcPr>
          <w:p>
            <w:pPr>
              <w:widowControl/>
              <w:spacing w:line="320" w:lineRule="exact"/>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sz w:val="15"/>
                <w:szCs w:val="15"/>
                <w:lang w:val="en-US" w:bidi="ar"/>
              </w:rPr>
              <w:t>小计</w:t>
            </w:r>
          </w:p>
        </w:tc>
        <w:tc>
          <w:tcPr>
            <w:tcW w:w="1075" w:type="dxa"/>
            <w:gridSpan w:val="2"/>
            <w:vAlign w:val="center"/>
          </w:tcPr>
          <w:p>
            <w:pPr>
              <w:widowControl/>
              <w:spacing w:line="320" w:lineRule="exact"/>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bidi="ar"/>
              </w:rPr>
              <w:t>15 门</w:t>
            </w:r>
          </w:p>
        </w:tc>
        <w:tc>
          <w:tcPr>
            <w:tcW w:w="59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39</w:t>
            </w:r>
          </w:p>
        </w:tc>
        <w:tc>
          <w:tcPr>
            <w:tcW w:w="52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624</w:t>
            </w:r>
          </w:p>
        </w:tc>
        <w:tc>
          <w:tcPr>
            <w:tcW w:w="568"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442</w:t>
            </w:r>
          </w:p>
        </w:tc>
        <w:tc>
          <w:tcPr>
            <w:tcW w:w="471"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564"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32</w:t>
            </w:r>
          </w:p>
        </w:tc>
        <w:tc>
          <w:tcPr>
            <w:tcW w:w="57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150</w:t>
            </w:r>
          </w:p>
        </w:tc>
        <w:tc>
          <w:tcPr>
            <w:tcW w:w="48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20</w:t>
            </w:r>
          </w:p>
        </w:tc>
        <w:tc>
          <w:tcPr>
            <w:tcW w:w="49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12</w:t>
            </w:r>
          </w:p>
        </w:tc>
        <w:tc>
          <w:tcPr>
            <w:tcW w:w="433"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4</w:t>
            </w:r>
          </w:p>
        </w:tc>
        <w:tc>
          <w:tcPr>
            <w:tcW w:w="45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0</w:t>
            </w:r>
          </w:p>
        </w:tc>
        <w:tc>
          <w:tcPr>
            <w:tcW w:w="410"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2</w:t>
            </w:r>
          </w:p>
        </w:tc>
        <w:tc>
          <w:tcPr>
            <w:tcW w:w="338"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980" w:type="dxa"/>
            <w:vAlign w:val="center"/>
          </w:tcPr>
          <w:p>
            <w:pPr>
              <w:widowControl/>
              <w:spacing w:line="320" w:lineRule="exact"/>
              <w:jc w:val="center"/>
              <w:rPr>
                <w:rFonts w:hint="eastAsia" w:ascii="仿宋_GB2312" w:hAnsi="仿宋_GB2312" w:eastAsia="仿宋_GB2312" w:cs="仿宋_GB2312"/>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选修</w:t>
            </w:r>
          </w:p>
        </w:tc>
        <w:tc>
          <w:tcPr>
            <w:tcW w:w="135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限选课</w:t>
            </w:r>
          </w:p>
        </w:tc>
        <w:tc>
          <w:tcPr>
            <w:tcW w:w="4481"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具体课程见选修课列表</w:t>
            </w:r>
          </w:p>
        </w:tc>
        <w:tc>
          <w:tcPr>
            <w:tcW w:w="53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2-4</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6</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96</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48</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48</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2</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98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任选课</w:t>
            </w:r>
          </w:p>
        </w:tc>
        <w:tc>
          <w:tcPr>
            <w:tcW w:w="4481"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具体课程见选修课列表</w:t>
            </w:r>
          </w:p>
        </w:tc>
        <w:tc>
          <w:tcPr>
            <w:tcW w:w="53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2-4</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kern w:val="2"/>
                <w:sz w:val="15"/>
                <w:szCs w:val="15"/>
                <w:lang w:val="en-US" w:eastAsia="zh-CN"/>
              </w:rPr>
              <w:t>6</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kern w:val="2"/>
                <w:sz w:val="15"/>
                <w:szCs w:val="15"/>
                <w:lang w:val="en-US" w:eastAsia="zh-CN"/>
              </w:rPr>
              <w:t>96</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22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小计</w:t>
            </w:r>
          </w:p>
        </w:tc>
        <w:tc>
          <w:tcPr>
            <w:tcW w:w="1075"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6 门</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12</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192</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88</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104</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0</w:t>
            </w: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0</w:t>
            </w:r>
          </w:p>
        </w:tc>
        <w:tc>
          <w:tcPr>
            <w:tcW w:w="98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专业课</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程</w:t>
            </w:r>
          </w:p>
        </w:tc>
        <w:tc>
          <w:tcPr>
            <w:tcW w:w="37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必修</w:t>
            </w:r>
          </w:p>
        </w:tc>
        <w:tc>
          <w:tcPr>
            <w:tcW w:w="1357"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必选课</w:t>
            </w: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070201Z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旅游学概论</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1</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3.5</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56</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56</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060105Z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管理学基础</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1</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52</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52</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070202Z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中国饮食文化</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w:t>
            </w: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52</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12</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070203Z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导游基础知识</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3.5</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56</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56</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070204Z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中国旅游地理*</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20</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070205Z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旅游市场营销</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20</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070206Z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旅游政策法规*</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070207Z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旅行社经营管理*</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20</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070208Z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旅游心理学*</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60</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40</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20</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070209Z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商务礼仪</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52</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24</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28</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070210Z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导游业务*</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4.5</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64</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32</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32</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000000"/>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070212Z</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前厅客房服务与管理*</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5</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4.5</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64</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32</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32</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highlight w:val="none"/>
                <w:vertAlign w:val="baseline"/>
                <w:lang w:val="en-US" w:eastAsia="zh-CN"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1357"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小计</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12 门</w:t>
            </w:r>
          </w:p>
        </w:tc>
        <w:tc>
          <w:tcPr>
            <w:tcW w:w="599"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41</w:t>
            </w:r>
          </w:p>
        </w:tc>
        <w:tc>
          <w:tcPr>
            <w:tcW w:w="525"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696</w:t>
            </w:r>
          </w:p>
        </w:tc>
        <w:tc>
          <w:tcPr>
            <w:tcW w:w="568"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512</w:t>
            </w:r>
          </w:p>
        </w:tc>
        <w:tc>
          <w:tcPr>
            <w:tcW w:w="471"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0</w:t>
            </w:r>
          </w:p>
        </w:tc>
        <w:tc>
          <w:tcPr>
            <w:tcW w:w="564"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0</w:t>
            </w:r>
          </w:p>
        </w:tc>
        <w:tc>
          <w:tcPr>
            <w:tcW w:w="57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184</w:t>
            </w:r>
          </w:p>
        </w:tc>
        <w:tc>
          <w:tcPr>
            <w:tcW w:w="48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8</w:t>
            </w:r>
          </w:p>
        </w:tc>
        <w:tc>
          <w:tcPr>
            <w:tcW w:w="49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8</w:t>
            </w:r>
          </w:p>
        </w:tc>
        <w:tc>
          <w:tcPr>
            <w:tcW w:w="433"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12</w:t>
            </w:r>
          </w:p>
        </w:tc>
        <w:tc>
          <w:tcPr>
            <w:tcW w:w="450"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16</w:t>
            </w:r>
          </w:p>
        </w:tc>
        <w:tc>
          <w:tcPr>
            <w:tcW w:w="410"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4</w:t>
            </w:r>
          </w:p>
        </w:tc>
        <w:tc>
          <w:tcPr>
            <w:tcW w:w="338"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auto"/>
                <w:kern w:val="0"/>
                <w:sz w:val="15"/>
                <w:szCs w:val="15"/>
                <w:u w:val="none"/>
                <w:lang w:val="en-US" w:eastAsia="zh-CN" w:bidi="ar"/>
              </w:rPr>
              <w:t>0</w:t>
            </w: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专业课程</w:t>
            </w:r>
          </w:p>
        </w:tc>
        <w:tc>
          <w:tcPr>
            <w:tcW w:w="37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选修</w:t>
            </w:r>
          </w:p>
        </w:tc>
        <w:tc>
          <w:tcPr>
            <w:tcW w:w="135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rPr>
              <w:t>限选课</w:t>
            </w:r>
          </w:p>
        </w:tc>
        <w:tc>
          <w:tcPr>
            <w:tcW w:w="4481"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具体课程见选修课列表</w:t>
            </w:r>
          </w:p>
        </w:tc>
        <w:tc>
          <w:tcPr>
            <w:tcW w:w="53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auto"/>
                <w:kern w:val="0"/>
                <w:sz w:val="15"/>
                <w:szCs w:val="15"/>
                <w:vertAlign w:val="baseline"/>
                <w:lang w:val="en-US" w:eastAsia="zh-CN"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3</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3</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48</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highlight w:val="none"/>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highlight w:val="none"/>
                <w:vertAlign w:val="baseline"/>
                <w:lang w:val="en-US" w:eastAsia="zh-CN" w:bidi="ar"/>
              </w:rPr>
            </w:pP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bidi="zh-CN"/>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8"/>
                <w:szCs w:val="18"/>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75"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13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任选课</w:t>
            </w:r>
          </w:p>
        </w:tc>
        <w:tc>
          <w:tcPr>
            <w:tcW w:w="4481"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具体课程见选修课列表</w:t>
            </w:r>
          </w:p>
        </w:tc>
        <w:tc>
          <w:tcPr>
            <w:tcW w:w="537"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auto"/>
                <w:kern w:val="0"/>
                <w:sz w:val="15"/>
                <w:szCs w:val="15"/>
                <w:vertAlign w:val="baseline"/>
                <w:lang w:val="en-US" w:eastAsia="zh-CN"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4</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3</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b w:val="0"/>
                <w:bCs w:val="0"/>
                <w:color w:val="auto"/>
                <w:kern w:val="0"/>
                <w:sz w:val="15"/>
                <w:szCs w:val="15"/>
                <w:vertAlign w:val="baseline"/>
                <w:lang w:val="en-US" w:eastAsia="zh-CN" w:bidi="ar"/>
              </w:rPr>
              <w:t>48</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highlight w:val="none"/>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highlight w:val="none"/>
                <w:vertAlign w:val="baseline"/>
                <w:lang w:val="en-US" w:eastAsia="zh-CN" w:bidi="ar"/>
              </w:rPr>
            </w:pP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val="0"/>
                <w:bCs w:val="0"/>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bidi="zh-CN"/>
              </w:rPr>
              <w:t>2</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val="0"/>
                <w:bCs w:val="0"/>
                <w:color w:val="auto"/>
                <w:kern w:val="0"/>
                <w:sz w:val="15"/>
                <w:szCs w:val="15"/>
                <w:vertAlign w:val="baseline"/>
                <w:lang w:val="en-US" w:eastAsia="zh-CN" w:bidi="ar"/>
              </w:rPr>
            </w:pP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8"/>
                <w:szCs w:val="18"/>
                <w:vertAlign w:val="baseline"/>
                <w:lang w:val="en-US" w:eastAsia="zh-CN"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13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小计</w:t>
            </w:r>
          </w:p>
        </w:tc>
        <w:tc>
          <w:tcPr>
            <w:tcW w:w="1075" w:type="dxa"/>
            <w:gridSpan w:val="2"/>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2 门</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6</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96</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48</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0</w:t>
            </w: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48</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0</w:t>
            </w: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0</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2</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0</w:t>
            </w: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auto"/>
                <w:kern w:val="0"/>
                <w:sz w:val="18"/>
                <w:szCs w:val="18"/>
                <w:vertAlign w:val="baseline"/>
                <w:lang w:val="en-US" w:eastAsia="zh-CN" w:bidi="ar"/>
              </w:rPr>
            </w:pPr>
            <w:r>
              <w:rPr>
                <w:rFonts w:hint="eastAsia" w:ascii="仿宋_GB2312" w:hAnsi="仿宋_GB2312" w:eastAsia="仿宋_GB2312" w:cs="仿宋_GB2312"/>
                <w:b/>
                <w:bCs/>
                <w:color w:val="000000"/>
                <w:kern w:val="2"/>
                <w:sz w:val="15"/>
                <w:szCs w:val="15"/>
                <w:lang w:val="en-US" w:eastAsia="zh-CN" w:bidi="zh-CN"/>
              </w:rPr>
              <w:t>0</w:t>
            </w: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公共基础课程合计</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themeColor="text1"/>
                <w:kern w:val="0"/>
                <w:sz w:val="15"/>
                <w:szCs w:val="15"/>
                <w:vertAlign w:val="baseline"/>
                <w:lang w:val="en-US" w:eastAsia="zh-CN" w:bidi="ar"/>
                <w14:textFill>
                  <w14:solidFill>
                    <w14:schemeClr w14:val="tx1"/>
                  </w14:solidFill>
                </w14:textFill>
              </w:rPr>
              <w:t>21 门</w:t>
            </w:r>
          </w:p>
        </w:tc>
        <w:tc>
          <w:tcPr>
            <w:tcW w:w="599" w:type="dxa"/>
            <w:vAlign w:val="center"/>
          </w:tcPr>
          <w:p>
            <w:pPr>
              <w:widowControl/>
              <w:jc w:val="center"/>
              <w:textAlignment w:val="center"/>
              <w:rPr>
                <w:rFonts w:hint="eastAsia" w:ascii="仿宋_GB2312" w:hAnsi="仿宋_GB2312" w:eastAsia="仿宋_GB2312" w:cs="仿宋_GB2312"/>
                <w:b/>
                <w:bCs/>
                <w:color w:val="auto"/>
                <w:kern w:val="0"/>
                <w:sz w:val="15"/>
                <w:szCs w:val="15"/>
                <w:u w:val="none"/>
                <w:vertAlign w:val="baseline"/>
                <w:lang w:val="en-US" w:eastAsia="zh-CN" w:bidi="ar"/>
              </w:rPr>
            </w:pPr>
            <w:r>
              <w:rPr>
                <w:rFonts w:hint="eastAsia" w:ascii="仿宋_GB2312" w:hAnsi="仿宋_GB2312" w:eastAsia="仿宋_GB2312" w:cs="仿宋_GB2312"/>
                <w:b/>
                <w:bCs/>
                <w:color w:val="000000"/>
                <w:sz w:val="15"/>
                <w:szCs w:val="15"/>
                <w:lang w:val="en-US" w:eastAsia="zh-CN" w:bidi="ar"/>
              </w:rPr>
              <w:t>51</w:t>
            </w:r>
          </w:p>
        </w:tc>
        <w:tc>
          <w:tcPr>
            <w:tcW w:w="525" w:type="dxa"/>
            <w:vAlign w:val="center"/>
          </w:tcPr>
          <w:p>
            <w:pPr>
              <w:widowControl/>
              <w:jc w:val="center"/>
              <w:textAlignment w:val="center"/>
              <w:rPr>
                <w:rFonts w:hint="eastAsia" w:ascii="仿宋_GB2312" w:hAnsi="仿宋_GB2312" w:eastAsia="仿宋_GB2312" w:cs="仿宋_GB2312"/>
                <w:b/>
                <w:bCs/>
                <w:color w:val="auto"/>
                <w:kern w:val="0"/>
                <w:sz w:val="15"/>
                <w:szCs w:val="15"/>
                <w:u w:val="none"/>
                <w:vertAlign w:val="baseline"/>
                <w:lang w:val="en-US" w:eastAsia="zh-CN" w:bidi="ar"/>
              </w:rPr>
            </w:pPr>
            <w:r>
              <w:rPr>
                <w:rFonts w:hint="eastAsia" w:ascii="仿宋_GB2312" w:hAnsi="仿宋_GB2312" w:eastAsia="仿宋_GB2312" w:cs="仿宋_GB2312"/>
                <w:b/>
                <w:bCs/>
                <w:color w:val="000000"/>
                <w:sz w:val="15"/>
                <w:szCs w:val="15"/>
                <w:lang w:val="en-US" w:eastAsia="zh-CN" w:bidi="ar"/>
              </w:rPr>
              <w:t>816</w:t>
            </w:r>
          </w:p>
        </w:tc>
        <w:tc>
          <w:tcPr>
            <w:tcW w:w="568" w:type="dxa"/>
            <w:vAlign w:val="center"/>
          </w:tcPr>
          <w:p>
            <w:pPr>
              <w:widowControl/>
              <w:jc w:val="center"/>
              <w:textAlignment w:val="center"/>
              <w:rPr>
                <w:rFonts w:hint="default" w:ascii="仿宋_GB2312" w:hAnsi="仿宋_GB2312" w:eastAsia="仿宋_GB2312" w:cs="仿宋_GB2312"/>
                <w:b/>
                <w:bCs/>
                <w:color w:val="auto"/>
                <w:kern w:val="0"/>
                <w:sz w:val="15"/>
                <w:szCs w:val="15"/>
                <w:u w:val="none"/>
                <w:vertAlign w:val="baseline"/>
                <w:lang w:val="en-US" w:eastAsia="zh-CN" w:bidi="ar"/>
              </w:rPr>
            </w:pPr>
            <w:r>
              <w:rPr>
                <w:rFonts w:hint="eastAsia" w:ascii="仿宋_GB2312" w:hAnsi="仿宋_GB2312" w:eastAsia="仿宋_GB2312" w:cs="仿宋_GB2312"/>
                <w:b/>
                <w:bCs/>
                <w:color w:val="000000"/>
                <w:sz w:val="15"/>
                <w:szCs w:val="15"/>
                <w:lang w:val="en-US" w:eastAsia="zh-CN" w:bidi="ar"/>
              </w:rPr>
              <w:t>530</w:t>
            </w:r>
          </w:p>
        </w:tc>
        <w:tc>
          <w:tcPr>
            <w:tcW w:w="471" w:type="dxa"/>
            <w:vAlign w:val="center"/>
          </w:tcPr>
          <w:p>
            <w:pPr>
              <w:widowControl/>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sz w:val="15"/>
                <w:szCs w:val="15"/>
                <w:lang w:val="en-US" w:eastAsia="zh-CN" w:bidi="ar"/>
              </w:rPr>
              <w:t>0</w:t>
            </w:r>
          </w:p>
        </w:tc>
        <w:tc>
          <w:tcPr>
            <w:tcW w:w="564" w:type="dxa"/>
            <w:vAlign w:val="center"/>
          </w:tcPr>
          <w:p>
            <w:pPr>
              <w:widowControl/>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sz w:val="15"/>
                <w:szCs w:val="15"/>
                <w:lang w:val="en-US" w:eastAsia="zh-CN" w:bidi="ar"/>
              </w:rPr>
              <w:t>32</w:t>
            </w:r>
          </w:p>
        </w:tc>
        <w:tc>
          <w:tcPr>
            <w:tcW w:w="570" w:type="dxa"/>
            <w:vAlign w:val="center"/>
          </w:tcPr>
          <w:p>
            <w:pPr>
              <w:widowControl/>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sz w:val="15"/>
                <w:szCs w:val="15"/>
                <w:lang w:val="en-US" w:eastAsia="zh-CN" w:bidi="ar"/>
              </w:rPr>
              <w:t>254</w:t>
            </w:r>
          </w:p>
        </w:tc>
        <w:tc>
          <w:tcPr>
            <w:tcW w:w="485" w:type="dxa"/>
            <w:vAlign w:val="center"/>
          </w:tcPr>
          <w:p>
            <w:pPr>
              <w:widowControl/>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color w:val="000000"/>
                <w:sz w:val="15"/>
                <w:szCs w:val="15"/>
                <w:lang w:val="en-US" w:bidi="ar"/>
              </w:rPr>
              <w:t>2</w:t>
            </w:r>
            <w:r>
              <w:rPr>
                <w:rFonts w:hint="eastAsia" w:ascii="仿宋_GB2312" w:hAnsi="仿宋_GB2312" w:eastAsia="仿宋_GB2312" w:cs="仿宋_GB2312"/>
                <w:b/>
                <w:bCs/>
                <w:color w:val="000000"/>
                <w:sz w:val="15"/>
                <w:szCs w:val="15"/>
                <w:lang w:val="en-US" w:eastAsia="zh-CN" w:bidi="ar"/>
              </w:rPr>
              <w:t>0</w:t>
            </w:r>
          </w:p>
        </w:tc>
        <w:tc>
          <w:tcPr>
            <w:tcW w:w="499" w:type="dxa"/>
            <w:vAlign w:val="center"/>
          </w:tcPr>
          <w:p>
            <w:pPr>
              <w:widowControl/>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6</w:t>
            </w:r>
          </w:p>
        </w:tc>
        <w:tc>
          <w:tcPr>
            <w:tcW w:w="433" w:type="dxa"/>
            <w:vAlign w:val="center"/>
          </w:tcPr>
          <w:p>
            <w:pPr>
              <w:widowControl/>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8</w:t>
            </w:r>
          </w:p>
        </w:tc>
        <w:tc>
          <w:tcPr>
            <w:tcW w:w="450" w:type="dxa"/>
            <w:vAlign w:val="center"/>
          </w:tcPr>
          <w:p>
            <w:pPr>
              <w:widowControl/>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4</w:t>
            </w:r>
          </w:p>
        </w:tc>
        <w:tc>
          <w:tcPr>
            <w:tcW w:w="410" w:type="dxa"/>
            <w:vAlign w:val="center"/>
          </w:tcPr>
          <w:p>
            <w:pPr>
              <w:widowControl/>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sz w:val="15"/>
                <w:szCs w:val="15"/>
                <w:lang w:val="en-US" w:bidi="ar"/>
              </w:rPr>
              <w:t>2</w:t>
            </w:r>
          </w:p>
        </w:tc>
        <w:tc>
          <w:tcPr>
            <w:tcW w:w="338" w:type="dxa"/>
            <w:vAlign w:val="center"/>
          </w:tcPr>
          <w:p>
            <w:pPr>
              <w:widowControl/>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000000"/>
                <w:sz w:val="15"/>
                <w:szCs w:val="15"/>
                <w:lang w:val="en-US" w:bidi="ar"/>
              </w:rPr>
              <w:t>0</w:t>
            </w: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b/>
                <w:bCs/>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专业课程合计</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14 门</w:t>
            </w:r>
          </w:p>
        </w:tc>
        <w:tc>
          <w:tcPr>
            <w:tcW w:w="599"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47</w:t>
            </w:r>
          </w:p>
        </w:tc>
        <w:tc>
          <w:tcPr>
            <w:tcW w:w="525"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792</w:t>
            </w:r>
          </w:p>
        </w:tc>
        <w:tc>
          <w:tcPr>
            <w:tcW w:w="568"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548</w:t>
            </w:r>
          </w:p>
        </w:tc>
        <w:tc>
          <w:tcPr>
            <w:tcW w:w="471"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0</w:t>
            </w:r>
          </w:p>
        </w:tc>
        <w:tc>
          <w:tcPr>
            <w:tcW w:w="564"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32</w:t>
            </w:r>
          </w:p>
        </w:tc>
        <w:tc>
          <w:tcPr>
            <w:tcW w:w="57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270</w:t>
            </w:r>
          </w:p>
        </w:tc>
        <w:tc>
          <w:tcPr>
            <w:tcW w:w="48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8</w:t>
            </w:r>
          </w:p>
        </w:tc>
        <w:tc>
          <w:tcPr>
            <w:tcW w:w="49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8</w:t>
            </w:r>
          </w:p>
        </w:tc>
        <w:tc>
          <w:tcPr>
            <w:tcW w:w="433"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14</w:t>
            </w:r>
          </w:p>
        </w:tc>
        <w:tc>
          <w:tcPr>
            <w:tcW w:w="45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18</w:t>
            </w:r>
          </w:p>
        </w:tc>
        <w:tc>
          <w:tcPr>
            <w:tcW w:w="41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4</w:t>
            </w:r>
          </w:p>
        </w:tc>
        <w:tc>
          <w:tcPr>
            <w:tcW w:w="338"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0</w:t>
            </w: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综合实践教学合计</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b/>
                <w:bCs/>
                <w:color w:val="000000"/>
                <w:kern w:val="0"/>
                <w:sz w:val="15"/>
                <w:szCs w:val="15"/>
                <w:vertAlign w:val="baseline"/>
                <w:lang w:val="en-US" w:eastAsia="zh-CN" w:bidi="ar"/>
              </w:rPr>
              <w:t>7 项 44 周</w:t>
            </w:r>
          </w:p>
        </w:tc>
        <w:tc>
          <w:tcPr>
            <w:tcW w:w="599" w:type="dxa"/>
            <w:vAlign w:val="center"/>
          </w:tcPr>
          <w:p>
            <w:pPr>
              <w:keepNext w:val="0"/>
              <w:keepLines w:val="0"/>
              <w:suppressLineNumbers w:val="0"/>
              <w:spacing w:beforeAutospacing="0" w:afterAutospacing="0"/>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lang w:val="en-US" w:eastAsia="zh-CN"/>
              </w:rPr>
              <w:t>44</w:t>
            </w:r>
          </w:p>
        </w:tc>
        <w:tc>
          <w:tcPr>
            <w:tcW w:w="525" w:type="dxa"/>
            <w:vAlign w:val="center"/>
          </w:tcPr>
          <w:p>
            <w:pPr>
              <w:keepNext w:val="0"/>
              <w:keepLines w:val="0"/>
              <w:suppressLineNumbers w:val="0"/>
              <w:spacing w:beforeAutospacing="0" w:afterAutospacing="0"/>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lang w:val="en-US" w:eastAsia="zh-CN"/>
              </w:rPr>
              <w:t>1112</w:t>
            </w:r>
          </w:p>
        </w:tc>
        <w:tc>
          <w:tcPr>
            <w:tcW w:w="568"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rPr>
              <w:t>0</w:t>
            </w:r>
          </w:p>
        </w:tc>
        <w:tc>
          <w:tcPr>
            <w:tcW w:w="471"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rPr>
              <w:t>0</w:t>
            </w:r>
          </w:p>
        </w:tc>
        <w:tc>
          <w:tcPr>
            <w:tcW w:w="564"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rPr>
              <w:t>0</w:t>
            </w:r>
          </w:p>
        </w:tc>
        <w:tc>
          <w:tcPr>
            <w:tcW w:w="570" w:type="dxa"/>
            <w:vAlign w:val="center"/>
          </w:tcPr>
          <w:p>
            <w:pPr>
              <w:keepNext w:val="0"/>
              <w:keepLines w:val="0"/>
              <w:suppressLineNumbers w:val="0"/>
              <w:spacing w:beforeAutospacing="0" w:afterAutospacing="0"/>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eastAsia="仿宋_GB2312"/>
                <w:b/>
                <w:bCs/>
                <w:color w:val="000000"/>
                <w:kern w:val="2"/>
                <w:sz w:val="15"/>
                <w:szCs w:val="15"/>
                <w:lang w:val="en-US" w:eastAsia="zh-CN"/>
              </w:rPr>
              <w:t>1112</w:t>
            </w:r>
          </w:p>
        </w:tc>
        <w:tc>
          <w:tcPr>
            <w:tcW w:w="485"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499"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433"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450"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410" w:type="dxa"/>
            <w:vAlign w:val="center"/>
          </w:tcPr>
          <w:p>
            <w:pPr>
              <w:keepNext w:val="0"/>
              <w:keepLines w:val="0"/>
              <w:suppressLineNumbers w:val="0"/>
              <w:spacing w:beforeAutospacing="0" w:afterAutospacing="0"/>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p>
        </w:tc>
        <w:tc>
          <w:tcPr>
            <w:tcW w:w="98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总计</w:t>
            </w:r>
          </w:p>
        </w:tc>
        <w:tc>
          <w:tcPr>
            <w:tcW w:w="1075"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35 门</w:t>
            </w:r>
          </w:p>
        </w:tc>
        <w:tc>
          <w:tcPr>
            <w:tcW w:w="599"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142</w:t>
            </w:r>
          </w:p>
        </w:tc>
        <w:tc>
          <w:tcPr>
            <w:tcW w:w="525" w:type="dxa"/>
            <w:vAlign w:val="center"/>
          </w:tcPr>
          <w:p>
            <w:pPr>
              <w:keepNext w:val="0"/>
              <w:keepLines w:val="0"/>
              <w:suppressLineNumbers w:val="0"/>
              <w:spacing w:beforeAutospacing="0" w:afterAutospacing="0"/>
              <w:ind w:left="0" w:leftChars="0" w:right="0" w:rightChars="0"/>
              <w:jc w:val="center"/>
              <w:rPr>
                <w:rFonts w:hint="default" w:ascii="仿宋_GB2312" w:eastAsia="仿宋_GB2312"/>
                <w:b/>
                <w:bCs/>
                <w:color w:val="000000"/>
                <w:kern w:val="2"/>
                <w:sz w:val="15"/>
                <w:szCs w:val="15"/>
                <w:lang w:val="en-US" w:eastAsia="zh-CN"/>
              </w:rPr>
            </w:pPr>
            <w:r>
              <w:rPr>
                <w:rFonts w:hint="default" w:ascii="仿宋_GB2312" w:eastAsia="仿宋_GB2312"/>
                <w:b/>
                <w:bCs/>
                <w:color w:val="000000"/>
                <w:kern w:val="2"/>
                <w:sz w:val="15"/>
                <w:szCs w:val="15"/>
                <w:lang w:val="en-US" w:eastAsia="zh-CN"/>
              </w:rPr>
              <w:t>2720</w:t>
            </w:r>
          </w:p>
        </w:tc>
        <w:tc>
          <w:tcPr>
            <w:tcW w:w="568" w:type="dxa"/>
            <w:vAlign w:val="center"/>
          </w:tcPr>
          <w:p>
            <w:pPr>
              <w:keepNext w:val="0"/>
              <w:keepLines w:val="0"/>
              <w:suppressLineNumbers w:val="0"/>
              <w:spacing w:beforeAutospacing="0" w:afterAutospacing="0"/>
              <w:ind w:left="0" w:leftChars="0" w:right="0" w:rightChars="0"/>
              <w:jc w:val="center"/>
              <w:rPr>
                <w:rFonts w:hint="default" w:ascii="仿宋_GB2312" w:eastAsia="仿宋_GB2312"/>
                <w:b/>
                <w:bCs/>
                <w:color w:val="000000"/>
                <w:kern w:val="2"/>
                <w:sz w:val="15"/>
                <w:szCs w:val="15"/>
                <w:lang w:val="en-US" w:eastAsia="zh-CN"/>
              </w:rPr>
            </w:pPr>
            <w:r>
              <w:rPr>
                <w:rFonts w:hint="default" w:ascii="仿宋_GB2312" w:eastAsia="仿宋_GB2312"/>
                <w:b/>
                <w:bCs/>
                <w:color w:val="000000"/>
                <w:kern w:val="2"/>
                <w:sz w:val="15"/>
                <w:szCs w:val="15"/>
                <w:lang w:val="en-US" w:eastAsia="zh-CN"/>
              </w:rPr>
              <w:t>1078</w:t>
            </w:r>
          </w:p>
        </w:tc>
        <w:tc>
          <w:tcPr>
            <w:tcW w:w="471" w:type="dxa"/>
            <w:vAlign w:val="center"/>
          </w:tcPr>
          <w:p>
            <w:pPr>
              <w:keepNext w:val="0"/>
              <w:keepLines w:val="0"/>
              <w:suppressLineNumbers w:val="0"/>
              <w:spacing w:beforeAutospacing="0" w:afterAutospacing="0"/>
              <w:ind w:left="0" w:leftChars="0" w:right="0" w:rightChars="0"/>
              <w:jc w:val="center"/>
              <w:rPr>
                <w:rFonts w:hint="eastAsia" w:ascii="仿宋_GB2312" w:eastAsia="仿宋_GB2312"/>
                <w:b/>
                <w:bCs/>
                <w:color w:val="000000"/>
                <w:kern w:val="2"/>
                <w:sz w:val="15"/>
                <w:szCs w:val="15"/>
                <w:lang w:val="en-US" w:eastAsia="zh-CN"/>
              </w:rPr>
            </w:pPr>
            <w:r>
              <w:rPr>
                <w:rFonts w:hint="default" w:ascii="仿宋_GB2312" w:eastAsia="仿宋_GB2312"/>
                <w:b/>
                <w:bCs/>
                <w:color w:val="000000"/>
                <w:kern w:val="2"/>
                <w:sz w:val="15"/>
                <w:szCs w:val="15"/>
                <w:lang w:val="en-US" w:eastAsia="zh-CN"/>
              </w:rPr>
              <w:t>0</w:t>
            </w:r>
          </w:p>
        </w:tc>
        <w:tc>
          <w:tcPr>
            <w:tcW w:w="564" w:type="dxa"/>
            <w:vAlign w:val="center"/>
          </w:tcPr>
          <w:p>
            <w:pPr>
              <w:keepNext w:val="0"/>
              <w:keepLines w:val="0"/>
              <w:suppressLineNumbers w:val="0"/>
              <w:spacing w:beforeAutospacing="0" w:afterAutospacing="0"/>
              <w:ind w:left="0" w:leftChars="0" w:right="0" w:rightChars="0"/>
              <w:jc w:val="center"/>
              <w:rPr>
                <w:rFonts w:hint="default" w:ascii="仿宋_GB2312" w:eastAsia="仿宋_GB2312"/>
                <w:b/>
                <w:bCs/>
                <w:color w:val="000000"/>
                <w:kern w:val="2"/>
                <w:sz w:val="15"/>
                <w:szCs w:val="15"/>
                <w:lang w:val="en-US" w:eastAsia="zh-CN"/>
              </w:rPr>
            </w:pPr>
            <w:r>
              <w:rPr>
                <w:rFonts w:hint="default" w:ascii="仿宋_GB2312" w:eastAsia="仿宋_GB2312"/>
                <w:b/>
                <w:bCs/>
                <w:color w:val="000000"/>
                <w:kern w:val="2"/>
                <w:sz w:val="15"/>
                <w:szCs w:val="15"/>
                <w:lang w:val="en-US" w:eastAsia="zh-CN"/>
              </w:rPr>
              <w:t>64</w:t>
            </w:r>
          </w:p>
        </w:tc>
        <w:tc>
          <w:tcPr>
            <w:tcW w:w="570" w:type="dxa"/>
            <w:vAlign w:val="center"/>
          </w:tcPr>
          <w:p>
            <w:pPr>
              <w:keepNext w:val="0"/>
              <w:keepLines w:val="0"/>
              <w:suppressLineNumbers w:val="0"/>
              <w:spacing w:beforeAutospacing="0" w:afterAutospacing="0"/>
              <w:ind w:left="0" w:leftChars="0" w:right="0" w:rightChars="0"/>
              <w:jc w:val="center"/>
              <w:rPr>
                <w:rFonts w:hint="default" w:ascii="仿宋_GB2312" w:eastAsia="仿宋_GB2312"/>
                <w:b/>
                <w:bCs/>
                <w:color w:val="000000"/>
                <w:kern w:val="2"/>
                <w:sz w:val="15"/>
                <w:szCs w:val="15"/>
                <w:lang w:val="en-US" w:eastAsia="zh-CN"/>
              </w:rPr>
            </w:pPr>
            <w:r>
              <w:rPr>
                <w:rFonts w:hint="default" w:ascii="仿宋_GB2312" w:eastAsia="仿宋_GB2312"/>
                <w:b/>
                <w:bCs/>
                <w:color w:val="000000"/>
                <w:kern w:val="2"/>
                <w:sz w:val="15"/>
                <w:szCs w:val="15"/>
                <w:lang w:val="en-US" w:eastAsia="zh-CN"/>
              </w:rPr>
              <w:t>1636</w:t>
            </w:r>
          </w:p>
        </w:tc>
        <w:tc>
          <w:tcPr>
            <w:tcW w:w="485" w:type="dxa"/>
            <w:vAlign w:val="center"/>
          </w:tcPr>
          <w:p>
            <w:pPr>
              <w:widowControl/>
              <w:spacing w:line="320" w:lineRule="exact"/>
              <w:jc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28</w:t>
            </w:r>
          </w:p>
        </w:tc>
        <w:tc>
          <w:tcPr>
            <w:tcW w:w="499" w:type="dxa"/>
            <w:vAlign w:val="center"/>
          </w:tcPr>
          <w:p>
            <w:pPr>
              <w:widowControl/>
              <w:spacing w:line="320" w:lineRule="exact"/>
              <w:jc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24</w:t>
            </w:r>
          </w:p>
        </w:tc>
        <w:tc>
          <w:tcPr>
            <w:tcW w:w="433" w:type="dxa"/>
            <w:vAlign w:val="center"/>
          </w:tcPr>
          <w:p>
            <w:pPr>
              <w:widowControl/>
              <w:spacing w:line="320" w:lineRule="exact"/>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22</w:t>
            </w:r>
          </w:p>
        </w:tc>
        <w:tc>
          <w:tcPr>
            <w:tcW w:w="450" w:type="dxa"/>
            <w:vAlign w:val="center"/>
          </w:tcPr>
          <w:p>
            <w:pPr>
              <w:widowControl/>
              <w:spacing w:line="320" w:lineRule="exact"/>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22</w:t>
            </w:r>
          </w:p>
        </w:tc>
        <w:tc>
          <w:tcPr>
            <w:tcW w:w="410" w:type="dxa"/>
            <w:vAlign w:val="center"/>
          </w:tcPr>
          <w:p>
            <w:pPr>
              <w:widowControl/>
              <w:spacing w:line="320" w:lineRule="exact"/>
              <w:jc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6</w:t>
            </w:r>
          </w:p>
        </w:tc>
        <w:tc>
          <w:tcPr>
            <w:tcW w:w="338" w:type="dxa"/>
            <w:vAlign w:val="center"/>
          </w:tcPr>
          <w:p>
            <w:pPr>
              <w:widowControl/>
              <w:spacing w:line="320" w:lineRule="exact"/>
              <w:jc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0</w:t>
            </w: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仿宋_GB2312" w:hAnsi="仿宋_GB2312" w:eastAsia="仿宋_GB2312" w:cs="仿宋_GB2312"/>
                <w:b/>
                <w:bCs/>
                <w:color w:val="auto"/>
                <w:kern w:val="0"/>
                <w:sz w:val="15"/>
                <w:szCs w:val="15"/>
                <w:vertAlign w:val="baseline"/>
                <w:lang w:val="en-US" w:eastAsia="zh-CN" w:bidi="ar"/>
              </w:rPr>
            </w:pPr>
          </w:p>
        </w:tc>
      </w:tr>
    </w:tbl>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注：</w:t>
      </w:r>
      <w:r>
        <w:rPr>
          <w:rFonts w:hint="default"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val="en-US" w:eastAsia="zh-CN"/>
        </w:rPr>
        <w:t xml:space="preserve">核心课程 </w:t>
      </w:r>
      <w:r>
        <w:rPr>
          <w:rFonts w:hint="default" w:ascii="仿宋_GB2312" w:hAnsi="仿宋_GB2312" w:eastAsia="仿宋_GB2312" w:cs="仿宋_GB2312"/>
          <w:color w:val="auto"/>
          <w:sz w:val="28"/>
          <w:szCs w:val="28"/>
          <w:lang w:val="en-US" w:eastAsia="zh-CN"/>
        </w:rPr>
        <w:t xml:space="preserve">6--8 </w:t>
      </w:r>
      <w:r>
        <w:rPr>
          <w:rFonts w:hint="eastAsia" w:ascii="仿宋_GB2312" w:hAnsi="仿宋_GB2312" w:eastAsia="仿宋_GB2312" w:cs="仿宋_GB2312"/>
          <w:color w:val="auto"/>
          <w:sz w:val="28"/>
          <w:szCs w:val="28"/>
          <w:lang w:val="en-US" w:eastAsia="zh-CN"/>
        </w:rPr>
        <w:t>门；</w:t>
      </w:r>
      <w:r>
        <w:rPr>
          <w:rFonts w:hint="default"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en-US" w:eastAsia="zh-CN"/>
        </w:rPr>
        <w:t>核心课程名称后面加</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sectPr>
          <w:pgSz w:w="16838" w:h="11906" w:orient="landscape"/>
          <w:pgMar w:top="2098" w:right="1474" w:bottom="198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center"/>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kern w:val="0"/>
          <w:sz w:val="28"/>
          <w:szCs w:val="28"/>
          <w:lang w:val="en-US" w:eastAsia="zh-CN" w:bidi="zh-CN"/>
        </w:rPr>
        <w:t>综合实践教学安排</w:t>
      </w:r>
    </w:p>
    <w:tbl>
      <w:tblPr>
        <w:tblStyle w:val="6"/>
        <w:tblpPr w:leftFromText="180" w:rightFromText="180" w:vertAnchor="text" w:horzAnchor="page" w:tblpXSpec="center" w:tblpY="550"/>
        <w:tblOverlap w:val="never"/>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672"/>
        <w:gridCol w:w="643"/>
        <w:gridCol w:w="471"/>
        <w:gridCol w:w="471"/>
        <w:gridCol w:w="355"/>
        <w:gridCol w:w="332"/>
        <w:gridCol w:w="397"/>
        <w:gridCol w:w="375"/>
        <w:gridCol w:w="450"/>
        <w:gridCol w:w="418"/>
        <w:gridCol w:w="91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1" w:type="dxa"/>
            <w:vMerge w:val="restart"/>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课程</w:t>
            </w:r>
          </w:p>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代码</w:t>
            </w:r>
          </w:p>
        </w:tc>
        <w:tc>
          <w:tcPr>
            <w:tcW w:w="1672" w:type="dxa"/>
            <w:vMerge w:val="restart"/>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实践教学项目</w:t>
            </w:r>
          </w:p>
        </w:tc>
        <w:tc>
          <w:tcPr>
            <w:tcW w:w="643" w:type="dxa"/>
            <w:vMerge w:val="restart"/>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课程</w:t>
            </w:r>
          </w:p>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性质</w:t>
            </w:r>
          </w:p>
        </w:tc>
        <w:tc>
          <w:tcPr>
            <w:tcW w:w="471" w:type="dxa"/>
            <w:vMerge w:val="restart"/>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学分</w:t>
            </w:r>
          </w:p>
        </w:tc>
        <w:tc>
          <w:tcPr>
            <w:tcW w:w="471" w:type="dxa"/>
            <w:vMerge w:val="restart"/>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周数</w:t>
            </w:r>
          </w:p>
        </w:tc>
        <w:tc>
          <w:tcPr>
            <w:tcW w:w="2327" w:type="dxa"/>
            <w:gridSpan w:val="6"/>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学期安排</w:t>
            </w:r>
          </w:p>
        </w:tc>
        <w:tc>
          <w:tcPr>
            <w:tcW w:w="91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实践</w:t>
            </w:r>
          </w:p>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场所</w:t>
            </w:r>
          </w:p>
        </w:tc>
        <w:tc>
          <w:tcPr>
            <w:tcW w:w="1704"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061" w:type="dxa"/>
            <w:vMerge w:val="continue"/>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1672" w:type="dxa"/>
            <w:vMerge w:val="continue"/>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643" w:type="dxa"/>
            <w:vMerge w:val="continue"/>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471" w:type="dxa"/>
            <w:vMerge w:val="continue"/>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471" w:type="dxa"/>
            <w:vMerge w:val="continue"/>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35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1</w:t>
            </w:r>
          </w:p>
        </w:tc>
        <w:tc>
          <w:tcPr>
            <w:tcW w:w="332"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2</w:t>
            </w:r>
          </w:p>
        </w:tc>
        <w:tc>
          <w:tcPr>
            <w:tcW w:w="397"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3</w:t>
            </w:r>
          </w:p>
        </w:tc>
        <w:tc>
          <w:tcPr>
            <w:tcW w:w="37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4</w:t>
            </w:r>
          </w:p>
        </w:tc>
        <w:tc>
          <w:tcPr>
            <w:tcW w:w="45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5</w:t>
            </w:r>
          </w:p>
        </w:tc>
        <w:tc>
          <w:tcPr>
            <w:tcW w:w="418"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6</w:t>
            </w:r>
          </w:p>
        </w:tc>
        <w:tc>
          <w:tcPr>
            <w:tcW w:w="91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1704"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070201S</w:t>
            </w:r>
          </w:p>
        </w:tc>
        <w:tc>
          <w:tcPr>
            <w:tcW w:w="1672"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军事训练</w:t>
            </w:r>
          </w:p>
        </w:tc>
        <w:tc>
          <w:tcPr>
            <w:tcW w:w="643"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3</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3</w:t>
            </w:r>
          </w:p>
        </w:tc>
        <w:tc>
          <w:tcPr>
            <w:tcW w:w="35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3</w:t>
            </w:r>
          </w:p>
        </w:tc>
        <w:tc>
          <w:tcPr>
            <w:tcW w:w="332"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37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45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418"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91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校内</w:t>
            </w:r>
          </w:p>
        </w:tc>
        <w:tc>
          <w:tcPr>
            <w:tcW w:w="1704"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070202S</w:t>
            </w:r>
          </w:p>
        </w:tc>
        <w:tc>
          <w:tcPr>
            <w:tcW w:w="1672"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公益劳动</w:t>
            </w:r>
          </w:p>
        </w:tc>
        <w:tc>
          <w:tcPr>
            <w:tcW w:w="643"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1</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1</w:t>
            </w:r>
          </w:p>
        </w:tc>
        <w:tc>
          <w:tcPr>
            <w:tcW w:w="2327" w:type="dxa"/>
            <w:gridSpan w:val="6"/>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1</w:t>
            </w:r>
          </w:p>
        </w:tc>
        <w:tc>
          <w:tcPr>
            <w:tcW w:w="91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校内</w:t>
            </w:r>
          </w:p>
        </w:tc>
        <w:tc>
          <w:tcPr>
            <w:tcW w:w="1704"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6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070203S</w:t>
            </w:r>
          </w:p>
        </w:tc>
        <w:tc>
          <w:tcPr>
            <w:tcW w:w="167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跟岗实习</w:t>
            </w:r>
          </w:p>
        </w:tc>
        <w:tc>
          <w:tcPr>
            <w:tcW w:w="643"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7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45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418"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91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校外</w:t>
            </w:r>
          </w:p>
        </w:tc>
        <w:tc>
          <w:tcPr>
            <w:tcW w:w="1704"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070204S</w:t>
            </w:r>
          </w:p>
        </w:tc>
        <w:tc>
          <w:tcPr>
            <w:tcW w:w="167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职业资格取证培训</w:t>
            </w:r>
          </w:p>
        </w:tc>
        <w:tc>
          <w:tcPr>
            <w:tcW w:w="643"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71"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7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5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418"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91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校内</w:t>
            </w:r>
          </w:p>
        </w:tc>
        <w:tc>
          <w:tcPr>
            <w:tcW w:w="1704"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bidi="ar"/>
              </w:rPr>
              <w:t>070305S</w:t>
            </w:r>
          </w:p>
        </w:tc>
        <w:tc>
          <w:tcPr>
            <w:tcW w:w="1672"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eastAsia="zh-CN" w:bidi="ar"/>
              </w:rPr>
              <w:t>餐饮服务实训</w:t>
            </w:r>
          </w:p>
        </w:tc>
        <w:tc>
          <w:tcPr>
            <w:tcW w:w="643"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eastAsia="zh-CN"/>
              </w:rPr>
              <w:t>必修</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7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5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418"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91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eastAsia="zh-CN"/>
              </w:rPr>
              <w:t>校内</w:t>
            </w:r>
          </w:p>
        </w:tc>
        <w:tc>
          <w:tcPr>
            <w:tcW w:w="1704"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0"/>
                <w:sz w:val="18"/>
                <w:szCs w:val="18"/>
                <w:vertAlign w:val="baseline"/>
                <w:lang w:val="en-US" w:eastAsia="zh-CN" w:bidi="ar"/>
              </w:rPr>
              <w:t>070306S</w:t>
            </w:r>
          </w:p>
        </w:tc>
        <w:tc>
          <w:tcPr>
            <w:tcW w:w="1672"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2"/>
                <w:sz w:val="18"/>
                <w:szCs w:val="18"/>
                <w:lang w:val="zh-CN" w:eastAsia="zh-CN"/>
              </w:rPr>
            </w:pPr>
            <w:r>
              <w:rPr>
                <w:rFonts w:hint="eastAsia" w:ascii="仿宋_GB2312" w:hAnsi="仿宋_GB2312" w:eastAsia="仿宋_GB2312" w:cs="仿宋_GB2312"/>
                <w:color w:val="000000"/>
                <w:kern w:val="0"/>
                <w:sz w:val="18"/>
                <w:szCs w:val="18"/>
                <w:vertAlign w:val="baseline"/>
                <w:lang w:val="en-US" w:eastAsia="zh-CN" w:bidi="ar"/>
              </w:rPr>
              <w:t>客房服务实训</w:t>
            </w:r>
          </w:p>
        </w:tc>
        <w:tc>
          <w:tcPr>
            <w:tcW w:w="643"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zh-CN" w:eastAsia="zh-CN"/>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c>
          <w:tcPr>
            <w:tcW w:w="397"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c>
          <w:tcPr>
            <w:tcW w:w="37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c>
          <w:tcPr>
            <w:tcW w:w="45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418"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c>
          <w:tcPr>
            <w:tcW w:w="91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zh-CN" w:eastAsia="zh-CN"/>
              </w:rPr>
            </w:pPr>
            <w:r>
              <w:rPr>
                <w:rFonts w:hint="eastAsia" w:ascii="仿宋_GB2312" w:hAnsi="仿宋_GB2312" w:eastAsia="仿宋_GB2312" w:cs="仿宋_GB2312"/>
                <w:color w:val="000000"/>
                <w:kern w:val="2"/>
                <w:sz w:val="18"/>
                <w:szCs w:val="18"/>
                <w:lang w:val="en-US"/>
              </w:rPr>
              <w:t>校内</w:t>
            </w:r>
          </w:p>
        </w:tc>
        <w:tc>
          <w:tcPr>
            <w:tcW w:w="1704"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070207S</w:t>
            </w:r>
          </w:p>
        </w:tc>
        <w:tc>
          <w:tcPr>
            <w:tcW w:w="167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毕业设计（含顶岗实习）</w:t>
            </w:r>
          </w:p>
        </w:tc>
        <w:tc>
          <w:tcPr>
            <w:tcW w:w="643"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必修</w:t>
            </w:r>
          </w:p>
        </w:tc>
        <w:tc>
          <w:tcPr>
            <w:tcW w:w="471"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rPr>
              <w:t>2</w:t>
            </w:r>
            <w:r>
              <w:rPr>
                <w:rFonts w:hint="eastAsia" w:ascii="仿宋_GB2312" w:hAnsi="仿宋_GB2312" w:eastAsia="仿宋_GB2312" w:cs="仿宋_GB2312"/>
                <w:color w:val="000000"/>
                <w:kern w:val="2"/>
                <w:sz w:val="18"/>
                <w:szCs w:val="18"/>
                <w:lang w:val="en-US" w:eastAsia="zh-CN"/>
              </w:rPr>
              <w:t>4</w:t>
            </w:r>
          </w:p>
        </w:tc>
        <w:tc>
          <w:tcPr>
            <w:tcW w:w="471"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rPr>
              <w:t>2</w:t>
            </w:r>
            <w:r>
              <w:rPr>
                <w:rFonts w:hint="eastAsia" w:ascii="仿宋_GB2312" w:hAnsi="仿宋_GB2312" w:eastAsia="仿宋_GB2312" w:cs="仿宋_GB2312"/>
                <w:color w:val="000000"/>
                <w:kern w:val="2"/>
                <w:sz w:val="18"/>
                <w:szCs w:val="18"/>
                <w:lang w:val="en-US" w:eastAsia="zh-CN"/>
              </w:rPr>
              <w:t>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7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45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10</w:t>
            </w:r>
          </w:p>
        </w:tc>
        <w:tc>
          <w:tcPr>
            <w:tcW w:w="418"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14</w:t>
            </w:r>
          </w:p>
        </w:tc>
        <w:tc>
          <w:tcPr>
            <w:tcW w:w="910"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校内/校外</w:t>
            </w:r>
          </w:p>
        </w:tc>
        <w:tc>
          <w:tcPr>
            <w:tcW w:w="1704"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gridSpan w:val="2"/>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小计</w:t>
            </w:r>
          </w:p>
        </w:tc>
        <w:tc>
          <w:tcPr>
            <w:tcW w:w="643"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r>
              <w:rPr>
                <w:rFonts w:hint="eastAsia" w:ascii="仿宋_GB2312" w:hAnsi="仿宋_GB2312" w:eastAsia="仿宋_GB2312" w:cs="仿宋_GB2312"/>
                <w:color w:val="000000"/>
                <w:kern w:val="2"/>
                <w:sz w:val="18"/>
                <w:szCs w:val="18"/>
                <w:lang w:val="en-US"/>
              </w:rPr>
              <w:t>7项</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44</w:t>
            </w:r>
          </w:p>
        </w:tc>
        <w:tc>
          <w:tcPr>
            <w:tcW w:w="471"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44</w:t>
            </w:r>
          </w:p>
        </w:tc>
        <w:tc>
          <w:tcPr>
            <w:tcW w:w="355"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3</w:t>
            </w:r>
          </w:p>
        </w:tc>
        <w:tc>
          <w:tcPr>
            <w:tcW w:w="332" w:type="dxa"/>
            <w:vAlign w:val="center"/>
          </w:tcPr>
          <w:p>
            <w:pPr>
              <w:keepNext w:val="0"/>
              <w:keepLines w:val="0"/>
              <w:widowControl/>
              <w:suppressLineNumbers w:val="0"/>
              <w:spacing w:beforeAutospacing="0" w:afterAutospacing="0" w:line="320" w:lineRule="exact"/>
              <w:jc w:val="center"/>
              <w:rPr>
                <w:rFonts w:hint="eastAsia" w:ascii="仿宋_GB2312" w:hAnsi="仿宋_GB2312" w:eastAsia="仿宋_GB2312" w:cs="仿宋_GB2312"/>
                <w:color w:val="000000"/>
                <w:kern w:val="2"/>
                <w:sz w:val="18"/>
                <w:szCs w:val="18"/>
                <w:lang w:val="en-US"/>
              </w:rPr>
            </w:pPr>
          </w:p>
        </w:tc>
        <w:tc>
          <w:tcPr>
            <w:tcW w:w="397"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4</w:t>
            </w:r>
          </w:p>
        </w:tc>
        <w:tc>
          <w:tcPr>
            <w:tcW w:w="375"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8</w:t>
            </w:r>
          </w:p>
        </w:tc>
        <w:tc>
          <w:tcPr>
            <w:tcW w:w="45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14</w:t>
            </w:r>
          </w:p>
        </w:tc>
        <w:tc>
          <w:tcPr>
            <w:tcW w:w="418"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14</w:t>
            </w:r>
          </w:p>
        </w:tc>
        <w:tc>
          <w:tcPr>
            <w:tcW w:w="910"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c>
          <w:tcPr>
            <w:tcW w:w="1704" w:type="dxa"/>
            <w:vAlign w:val="center"/>
          </w:tcPr>
          <w:p>
            <w:pPr>
              <w:keepNext w:val="0"/>
              <w:keepLines w:val="0"/>
              <w:widowControl/>
              <w:suppressLineNumbers w:val="0"/>
              <w:spacing w:beforeAutospacing="0" w:afterAutospacing="0" w:line="320" w:lineRule="exact"/>
              <w:jc w:val="center"/>
              <w:rPr>
                <w:rFonts w:hint="default" w:ascii="仿宋_GB2312" w:hAnsi="仿宋_GB2312" w:eastAsia="仿宋_GB2312" w:cs="仿宋_GB2312"/>
                <w:color w:val="000000"/>
                <w:kern w:val="2"/>
                <w:sz w:val="18"/>
                <w:szCs w:val="18"/>
                <w:lang w:val="en-US"/>
              </w:rPr>
            </w:pPr>
          </w:p>
        </w:tc>
      </w:tr>
    </w:tbl>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注明：公益劳动 1 周，分散执行。</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center"/>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kern w:val="0"/>
          <w:sz w:val="28"/>
          <w:szCs w:val="28"/>
          <w:lang w:val="en-US" w:eastAsia="zh-CN" w:bidi="zh-CN"/>
        </w:rPr>
        <w:t>选修课</w:t>
      </w:r>
    </w:p>
    <w:tbl>
      <w:tblPr>
        <w:tblStyle w:val="8"/>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67" w:beforeAutospacing="0" w:after="0" w:afterAutospacing="0" w:line="313" w:lineRule="exact"/>
              <w:ind w:left="276" w:right="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63" w:right="47"/>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624" w:right="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42" w:right="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16" w:right="104"/>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0" w:right="95"/>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32" w:right="119"/>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32" w:right="12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4" w:beforeAutospacing="0" w:afterAutospacing="0"/>
              <w:jc w:val="center"/>
              <w:rPr>
                <w:rFonts w:hint="eastAsia" w:ascii="仿宋_GB2312" w:hAnsi="仿宋_GB2312" w:eastAsia="仿宋_GB2312" w:cs="仿宋_GB2312"/>
                <w:kern w:val="2"/>
                <w:sz w:val="18"/>
                <w:szCs w:val="18"/>
                <w:lang w:val="en-US" w:eastAsia="en-US" w:bidi="ar-SA"/>
              </w:rPr>
            </w:pPr>
          </w:p>
          <w:p>
            <w:pPr>
              <w:keepNext w:val="0"/>
              <w:keepLines w:val="0"/>
              <w:widowControl/>
              <w:suppressLineNumbers w:val="0"/>
              <w:autoSpaceDE w:val="0"/>
              <w:autoSpaceDN w:val="0"/>
              <w:spacing w:before="0" w:beforeAutospacing="0" w:after="0" w:afterAutospacing="0" w:line="304" w:lineRule="auto"/>
              <w:ind w:left="370" w:right="23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公共限</w:t>
            </w:r>
            <w:r>
              <w:rPr>
                <w:rFonts w:hint="eastAsia" w:ascii="仿宋_GB2312" w:hAnsi="仿宋_GB2312" w:eastAsia="仿宋_GB2312" w:cs="仿宋_GB2312"/>
                <w:kern w:val="2"/>
                <w:sz w:val="18"/>
                <w:szCs w:val="18"/>
                <w:lang w:val="en-US" w:eastAsia="zh-CN" w:bidi="ar-SA"/>
              </w:rPr>
              <w:t>定</w:t>
            </w:r>
            <w:r>
              <w:rPr>
                <w:rFonts w:hint="eastAsia" w:ascii="仿宋_GB2312" w:hAnsi="仿宋_GB2312" w:eastAsia="仿宋_GB2312" w:cs="仿宋_GB2312"/>
                <w:kern w:val="2"/>
                <w:sz w:val="18"/>
                <w:szCs w:val="18"/>
                <w:lang w:val="en-US" w:eastAsia="en-US" w:bidi="ar-SA"/>
              </w:rPr>
              <w:t>选</w:t>
            </w:r>
            <w:r>
              <w:rPr>
                <w:rFonts w:hint="eastAsia" w:ascii="仿宋_GB2312" w:hAnsi="仿宋_GB2312" w:eastAsia="仿宋_GB2312" w:cs="仿宋_GB2312"/>
                <w:kern w:val="2"/>
                <w:sz w:val="18"/>
                <w:szCs w:val="18"/>
                <w:lang w:val="en-US" w:eastAsia="zh-CN" w:bidi="ar-SA"/>
              </w:rPr>
              <w:t>修</w:t>
            </w:r>
            <w:r>
              <w:rPr>
                <w:rFonts w:hint="eastAsia" w:ascii="仿宋_GB2312" w:hAnsi="仿宋_GB2312" w:eastAsia="仿宋_GB2312" w:cs="仿宋_GB2312"/>
                <w:kern w:val="2"/>
                <w:sz w:val="18"/>
                <w:szCs w:val="18"/>
                <w:lang w:val="en-US" w:eastAsia="en-US" w:bidi="ar-SA"/>
              </w:rPr>
              <w:t>课</w:t>
            </w:r>
          </w:p>
          <w:p>
            <w:pPr>
              <w:keepNext w:val="0"/>
              <w:keepLines w:val="0"/>
              <w:widowControl/>
              <w:suppressLineNumbers w:val="0"/>
              <w:autoSpaceDE w:val="0"/>
              <w:autoSpaceDN w:val="0"/>
              <w:spacing w:before="0" w:beforeAutospacing="0" w:after="0" w:afterAutospacing="0" w:line="304" w:lineRule="auto"/>
              <w:ind w:left="190" w:right="5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w:t>
            </w:r>
            <w:r>
              <w:rPr>
                <w:rFonts w:hint="eastAsia" w:ascii="仿宋_GB2312" w:hAnsi="仿宋_GB2312" w:eastAsia="仿宋_GB2312" w:cs="仿宋_GB2312"/>
                <w:spacing w:val="-9"/>
                <w:kern w:val="2"/>
                <w:sz w:val="18"/>
                <w:szCs w:val="18"/>
                <w:lang w:val="en-US" w:eastAsia="en-US" w:bidi="ar-SA"/>
              </w:rPr>
              <w:t>每个</w:t>
            </w:r>
            <w:r>
              <w:rPr>
                <w:rFonts w:hint="eastAsia" w:ascii="仿宋_GB2312" w:hAnsi="仿宋_GB2312" w:eastAsia="仿宋_GB2312" w:cs="仿宋_GB2312"/>
                <w:spacing w:val="-6"/>
                <w:kern w:val="2"/>
                <w:sz w:val="18"/>
                <w:szCs w:val="18"/>
                <w:lang w:val="en-US" w:eastAsia="en-US" w:bidi="ar-SA"/>
              </w:rPr>
              <w:t>模块至</w:t>
            </w:r>
            <w:r>
              <w:rPr>
                <w:rFonts w:hint="eastAsia" w:ascii="仿宋_GB2312" w:hAnsi="仿宋_GB2312" w:eastAsia="仿宋_GB2312" w:cs="仿宋_GB2312"/>
                <w:spacing w:val="-4"/>
                <w:kern w:val="2"/>
                <w:sz w:val="18"/>
                <w:szCs w:val="18"/>
                <w:lang w:val="en-US" w:eastAsia="en-US" w:bidi="ar-SA"/>
              </w:rPr>
              <w:t xml:space="preserve">少选 </w:t>
            </w:r>
            <w:r>
              <w:rPr>
                <w:rFonts w:hint="eastAsia" w:ascii="仿宋_GB2312" w:hAnsi="仿宋_GB2312" w:eastAsia="仿宋_GB2312" w:cs="仿宋_GB2312"/>
                <w:kern w:val="2"/>
                <w:sz w:val="18"/>
                <w:szCs w:val="18"/>
                <w:lang w:val="en-US" w:eastAsia="en-US" w:bidi="ar-SA"/>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p>
            <w:pPr>
              <w:keepNext w:val="0"/>
              <w:keepLines w:val="0"/>
              <w:widowControl/>
              <w:suppressLineNumbers w:val="0"/>
              <w:autoSpaceDE w:val="0"/>
              <w:autoSpaceDN w:val="0"/>
              <w:spacing w:before="112" w:beforeAutospacing="0" w:after="0" w:afterAutospacing="0" w:line="302" w:lineRule="auto"/>
              <w:ind w:left="210" w:right="-29" w:hanging="89"/>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模块一</w:t>
            </w:r>
          </w:p>
          <w:p>
            <w:pPr>
              <w:keepNext w:val="0"/>
              <w:keepLines w:val="0"/>
              <w:widowControl/>
              <w:suppressLineNumbers w:val="0"/>
              <w:autoSpaceDE w:val="0"/>
              <w:autoSpaceDN w:val="0"/>
              <w:spacing w:before="112" w:beforeAutospacing="0" w:after="0" w:afterAutospacing="0" w:line="302" w:lineRule="auto"/>
              <w:ind w:left="210" w:right="-29" w:hanging="89"/>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right="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right="104"/>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right="123"/>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right="83"/>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right="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right="104"/>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right="123"/>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right="83"/>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right="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43" w:right="104"/>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right="123"/>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3"/>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right="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43" w:right="104"/>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right="123"/>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3"/>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模块二</w:t>
            </w:r>
          </w:p>
          <w:p>
            <w:pPr>
              <w:keepNext w:val="0"/>
              <w:keepLines w:val="0"/>
              <w:widowControl/>
              <w:suppressLineNumbers w:val="0"/>
              <w:autoSpaceDE w:val="0"/>
              <w:autoSpaceDN w:val="0"/>
              <w:spacing w:beforeAutospacing="0" w:afterAutospacing="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公共艺术类</w:t>
            </w:r>
          </w:p>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p>
            <w:pPr>
              <w:keepNext w:val="0"/>
              <w:keepLines w:val="0"/>
              <w:widowControl/>
              <w:suppressLineNumbers w:val="0"/>
              <w:autoSpaceDE w:val="0"/>
              <w:autoSpaceDN w:val="0"/>
              <w:spacing w:beforeAutospacing="0" w:afterAutospacing="0"/>
              <w:jc w:val="center"/>
              <w:rPr>
                <w:rFonts w:hint="eastAsia" w:ascii="仿宋_GB2312" w:hAnsi="仿宋_GB2312" w:eastAsia="仿宋_GB2312" w:cs="仿宋_GB2312"/>
                <w:kern w:val="2"/>
                <w:sz w:val="18"/>
                <w:szCs w:val="18"/>
                <w:lang w:val="en-US" w:eastAsia="en-US" w:bidi="ar-SA"/>
              </w:rPr>
            </w:pPr>
          </w:p>
          <w:p>
            <w:pPr>
              <w:keepNext w:val="0"/>
              <w:keepLines w:val="0"/>
              <w:widowControl/>
              <w:suppressLineNumbers w:val="0"/>
              <w:autoSpaceDE w:val="0"/>
              <w:autoSpaceDN w:val="0"/>
              <w:spacing w:before="112" w:beforeAutospacing="0" w:after="0" w:afterAutospacing="0" w:line="304" w:lineRule="auto"/>
              <w:ind w:left="210" w:right="-29" w:hanging="89"/>
              <w:jc w:val="center"/>
              <w:rPr>
                <w:rFonts w:hint="eastAsia" w:ascii="仿宋_GB2312" w:hAnsi="仿宋_GB2312" w:eastAsia="仿宋_GB2312" w:cs="仿宋_GB2312"/>
                <w:kern w:val="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leftChars="0" w:right="81"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223" w:leftChars="0" w:right="81"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8"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8"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8" w:lineRule="exact"/>
              <w:ind w:left="0" w:leftChars="0" w:right="123"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8" w:lineRule="exact"/>
              <w:ind w:left="223" w:leftChars="0" w:right="81"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0"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0" w:leftChars="0" w:right="116"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7"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7"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7" w:lineRule="exact"/>
              <w:ind w:left="0" w:leftChars="0" w:right="123"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7" w:lineRule="exact"/>
              <w:ind w:left="223" w:leftChars="0" w:right="83"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en-US" w:bidi="ar-SA"/>
              </w:rPr>
              <w:t>模块三</w:t>
            </w:r>
            <w:r>
              <w:rPr>
                <w:rFonts w:hint="eastAsia" w:ascii="仿宋_GB2312" w:hAnsi="仿宋_GB2312" w:eastAsia="仿宋_GB2312" w:cs="仿宋_GB2312"/>
                <w:kern w:val="2"/>
                <w:sz w:val="18"/>
                <w:szCs w:val="18"/>
                <w:lang w:val="en-US" w:eastAsia="zh-CN" w:bidi="ar-SA"/>
              </w:rPr>
              <w:t>素质提升类</w:t>
            </w:r>
          </w:p>
          <w:p>
            <w:pPr>
              <w:keepNext w:val="0"/>
              <w:keepLines w:val="0"/>
              <w:widowControl/>
              <w:suppressLineNumbers w:val="0"/>
              <w:autoSpaceDE w:val="0"/>
              <w:autoSpaceDN w:val="0"/>
              <w:spacing w:before="112" w:beforeAutospacing="0" w:after="0" w:afterAutospacing="0" w:line="302" w:lineRule="auto"/>
              <w:ind w:left="210" w:right="-29" w:hanging="89"/>
              <w:jc w:val="center"/>
              <w:rPr>
                <w:rFonts w:hint="eastAsia" w:ascii="仿宋_GB2312" w:hAnsi="仿宋_GB2312" w:eastAsia="仿宋_GB2312" w:cs="仿宋_GB2312"/>
                <w:kern w:val="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7" w:lineRule="exact"/>
              <w:ind w:left="223" w:right="83"/>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leftChars="0" w:right="81" w:rightChars="0"/>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63" w:leftChars="0" w:right="96"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8"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43" w:leftChars="0" w:right="104"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0" w:leftChars="0" w:right="123"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3" w:beforeAutospacing="0" w:after="0" w:afterAutospacing="0" w:line="276" w:lineRule="exact"/>
              <w:ind w:left="223" w:leftChars="0" w:right="81" w:rightChars="0"/>
              <w:jc w:val="center"/>
              <w:rPr>
                <w:rFonts w:hint="eastAsia" w:ascii="仿宋_GB2312" w:hAnsi="仿宋_GB2312" w:eastAsia="仿宋_GB2312" w:cs="仿宋_GB2312"/>
                <w:kern w:val="2"/>
                <w:sz w:val="18"/>
                <w:szCs w:val="1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32" w:beforeAutospacing="0" w:after="0" w:afterAutospacing="0" w:line="304" w:lineRule="auto"/>
              <w:ind w:left="610" w:right="469"/>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en-US" w:bidi="ar-SA"/>
              </w:rPr>
              <w:t>公共任</w:t>
            </w:r>
            <w:r>
              <w:rPr>
                <w:rFonts w:hint="eastAsia" w:ascii="仿宋_GB2312" w:hAnsi="仿宋_GB2312" w:eastAsia="仿宋_GB2312" w:cs="仿宋_GB2312"/>
                <w:kern w:val="2"/>
                <w:sz w:val="18"/>
                <w:szCs w:val="18"/>
                <w:lang w:val="en-US" w:eastAsia="zh-CN" w:bidi="ar-SA"/>
              </w:rPr>
              <w:t>意</w:t>
            </w:r>
            <w:r>
              <w:rPr>
                <w:rFonts w:hint="eastAsia" w:ascii="仿宋_GB2312" w:hAnsi="仿宋_GB2312" w:eastAsia="仿宋_GB2312" w:cs="仿宋_GB2312"/>
                <w:kern w:val="2"/>
                <w:sz w:val="18"/>
                <w:szCs w:val="18"/>
                <w:lang w:val="en-US" w:eastAsia="en-US" w:bidi="ar-SA"/>
              </w:rPr>
              <w:t>选</w:t>
            </w:r>
            <w:r>
              <w:rPr>
                <w:rFonts w:hint="eastAsia" w:ascii="仿宋_GB2312" w:hAnsi="仿宋_GB2312" w:eastAsia="仿宋_GB2312" w:cs="仿宋_GB2312"/>
                <w:kern w:val="2"/>
                <w:sz w:val="18"/>
                <w:szCs w:val="18"/>
                <w:lang w:val="en-US" w:eastAsia="zh-CN" w:bidi="ar-SA"/>
              </w:rPr>
              <w:t>修</w:t>
            </w:r>
            <w:r>
              <w:rPr>
                <w:rFonts w:hint="eastAsia" w:ascii="仿宋_GB2312" w:hAnsi="仿宋_GB2312" w:eastAsia="仿宋_GB2312" w:cs="仿宋_GB2312"/>
                <w:kern w:val="2"/>
                <w:sz w:val="18"/>
                <w:szCs w:val="18"/>
                <w:lang w:val="en-US" w:eastAsia="en-US" w:bidi="ar-SA"/>
              </w:rPr>
              <w:t>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jc w:val="center"/>
              <w:rPr>
                <w:rFonts w:hint="default"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line="301" w:lineRule="exact"/>
              <w:ind w:left="139"/>
              <w:jc w:val="center"/>
              <w:rPr>
                <w:rFonts w:hint="eastAsia" w:ascii="仿宋_GB2312" w:hAnsi="仿宋_GB2312" w:eastAsia="仿宋_GB2312" w:cs="仿宋_GB2312"/>
                <w:kern w:val="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jc w:val="center"/>
              <w:rPr>
                <w:rFonts w:hint="default"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leftChars="0" w:right="0" w:rightChars="0" w:firstLine="720" w:firstLineChars="400"/>
              <w:jc w:val="both"/>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leftChars="0" w:right="104" w:rightChars="0" w:firstLine="360" w:firstLineChars="20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0" w:leftChars="0" w:right="123"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6" w:lineRule="exact"/>
              <w:ind w:left="223" w:right="83"/>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0" w:leftChars="0" w:right="123"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132" w:leftChars="0" w:right="11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23" w:right="81"/>
              <w:jc w:val="center"/>
              <w:rPr>
                <w:rFonts w:hint="eastAsia" w:ascii="仿宋_GB2312" w:hAnsi="仿宋_GB2312" w:eastAsia="仿宋_GB2312" w:cs="仿宋_GB2312"/>
                <w:kern w:val="2"/>
                <w:sz w:val="18"/>
                <w:szCs w:val="18"/>
                <w:lang w:val="en-US" w:eastAsia="en-US" w:bidi="ar-SA"/>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eastAsia" w:ascii="仿宋_GB2312" w:hAnsi="仿宋_GB2312" w:eastAsia="仿宋_GB2312" w:cs="仿宋_GB2312"/>
                <w:kern w:val="2"/>
                <w:sz w:val="18"/>
                <w:szCs w:val="18"/>
                <w:lang w:val="en-US" w:eastAsia="zh-CN"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4" w:beforeAutospacing="0" w:after="0" w:afterAutospacing="0" w:line="275"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2"/>
                <w:sz w:val="18"/>
                <w:szCs w:val="18"/>
                <w:lang w:val="en-US" w:eastAsia="zh-CN"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专业限定选修课（选择一门）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070214Z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旅游接待业</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23" w:leftChars="0" w:right="81"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070215Z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旅游英语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070216Z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旅游消费者行为学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070217Z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旅游经济学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070218Z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旅游创意策划</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专业任意选修课（选择一门）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旅游电子商务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070220Z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旅游项目策划</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070221Z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旅游形象推广</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070222Z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形体</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eastAsia" w:ascii="仿宋_GB2312" w:hAnsi="仿宋_GB2312" w:eastAsia="仿宋_GB2312" w:cs="仿宋_GB2312"/>
                <w:kern w:val="2"/>
                <w:sz w:val="18"/>
                <w:szCs w:val="18"/>
                <w:lang w:val="en-US" w:eastAsia="zh-CN"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63" w:leftChars="0" w:right="96"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070223Z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8"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现代酒店管理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106"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243" w:leftChars="0" w:right="104"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123" w:rightChars="0"/>
              <w:jc w:val="center"/>
              <w:rPr>
                <w:rFonts w:hint="eastAsia" w:ascii="仿宋_GB2312" w:hAnsi="仿宋_GB2312" w:eastAsia="仿宋_GB2312" w:cs="仿宋_GB2312"/>
                <w:kern w:val="2"/>
                <w:sz w:val="18"/>
                <w:szCs w:val="18"/>
                <w:lang w:val="en-US" w:eastAsia="zh-CN"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Autospacing="0" w:afterAutospacing="0"/>
              <w:ind w:left="0" w:leftChars="0" w:right="0" w:rightChars="0"/>
              <w:jc w:val="center"/>
              <w:rPr>
                <w:rFonts w:hint="default"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48</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utoSpaceDE w:val="0"/>
              <w:autoSpaceDN w:val="0"/>
              <w:spacing w:before="102" w:beforeAutospacing="0" w:after="0" w:afterAutospacing="0" w:line="276" w:lineRule="exact"/>
              <w:ind w:left="0" w:leftChars="0" w:right="0" w:rightChars="0"/>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工商管理系</w:t>
            </w:r>
          </w:p>
        </w:tc>
      </w:tr>
    </w:tbl>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黑体" w:hAnsi="黑体" w:eastAsia="黑体" w:cs="黑体"/>
          <w:bCs/>
          <w:color w:val="000000" w:themeColor="text1"/>
          <w:kern w:val="0"/>
          <w:sz w:val="28"/>
          <w:szCs w:val="28"/>
          <w:lang w:val="en-US" w:eastAsia="zh-CN"/>
          <w14:textFill>
            <w14:solidFill>
              <w14:schemeClr w14:val="tx1"/>
            </w14:solidFill>
          </w14:textFill>
        </w:rPr>
      </w:pPr>
      <w:r>
        <w:rPr>
          <w:rFonts w:hint="eastAsia" w:ascii="黑体" w:hAnsi="黑体" w:eastAsia="黑体" w:cs="黑体"/>
          <w:bCs/>
          <w:color w:val="000000" w:themeColor="text1"/>
          <w:kern w:val="0"/>
          <w:sz w:val="28"/>
          <w:szCs w:val="28"/>
          <w:lang w:val="en-US" w:eastAsia="zh-CN"/>
          <w14:textFill>
            <w14:solidFill>
              <w14:schemeClr w14:val="tx1"/>
            </w14:solidFill>
          </w14:textFill>
        </w:rPr>
        <w:t>九、教学保障</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r>
        <w:rPr>
          <w:rFonts w:hint="eastAsia" w:ascii="楷体" w:eastAsia="楷体"/>
          <w:b/>
          <w:bCs/>
          <w:sz w:val="28"/>
          <w:szCs w:val="28"/>
          <w:lang w:val="en-US" w:eastAsia="zh-CN"/>
        </w:rPr>
        <w:t>（一）师资队伍</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1.教师总体配置：</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本专业专兼职老师保障在2人以上；</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专职教师于兼职教师之比等于大于2：1；</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专职教师于学生之比等于大于1：25；</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高级职称教师所占比例等于大于20%。</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2.专任教师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任教师为本专业教学主干，均具有高校教师资格；有理想信念、有道德情操、有扎实学识、有仁爱之心；具有旅游管理等相关专业本科及以上学历；具有扎实的本专业相关理论功底和实践能力；较强信息化教学能力，能够开展课程教学改革和科学研究；均有企业实践经历（未从事过企业工作的由学校每年安排1个月以上的企业调研和其他岗位实践活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3.专业带头人</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本专业专业带头人为旅游类专业教授，并在企业担任过总经理职务。了解行业企业对本专业人才的需求实际，教学设计、专业研究能力强。</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4.兼职教师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实践经验为主要标准，从本专业相关的行业企业另聘请思想政治素质良好、具有职业道德和工匠精神，具有扎实的专业知识和丰富的实际工作经验，具有中级及以上相关专业职称部分兼职教师，承担专业课程教学、实习实训指导。</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 xml:space="preserve">    </w:t>
      </w:r>
      <w:r>
        <w:rPr>
          <w:rFonts w:hint="eastAsia" w:ascii="楷体" w:eastAsia="楷体"/>
          <w:b/>
          <w:bCs/>
          <w:sz w:val="28"/>
          <w:szCs w:val="28"/>
          <w:lang w:val="en-US" w:eastAsia="zh-CN"/>
        </w:rPr>
        <w:t>（二）教学设施</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1.专业教室基本条件</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所用教室，除黑（白）板配备外、另配有多媒体计算机、投影设备、音响设备，互联网接入或Wi-Fi环境，并实施网络安全防护措施；安装应急照明装置并保持良好状态，符合紧急疏散要求，标志明显，逃生通道畅通无阻。</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2.校内实训室</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（1）客房实训室</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客房实训室应配置教学主控台及配套软件、投影仪或多媒体一体机、两种以上规格的床 (2mx1.2m/2mx1.8m)及棉织品等，用于客房服务实训。</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（2）3D导游虚拟实训室</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D导游虚拟实训室通过搭载LED智能互动3D高清显示系统、导游实战演练一体机、导游三维实景实训系统、导游从业人员资格考试系统、导游技能大赛综合考评系统等目前国内最为先进的实训室软硬件设备，为学生构建一个集理论学习、技能实训、资格考试、技能大赛为一体的四位一体导游实战综合演练实训室。</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3.校外实训和实习基地</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本专业与苏州嘉年华酒店建立了集实训、实习、就业一体化的稳定校企合作关系。以严格的管理制度要求，全方位实施对学生和部分教师的校外实训、培训和就业的安置。</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仿宋_GB2312" w:hAnsi="仿宋_GB2312" w:eastAsia="仿宋_GB2312" w:cs="仿宋_GB2312"/>
          <w:sz w:val="28"/>
          <w:szCs w:val="28"/>
          <w:lang w:val="en-US" w:eastAsia="zh-CN"/>
        </w:rPr>
        <w:t>学校严格校企合作企业的实训基地基本要求——具有稳定持续的合作前景、实训条件完善、岗位对口或相近，规模可达到接纳一定规模的班级和人数；并有相应数量的指导教师对学生实习进行指导和管理；实习生日常工作、学习、生活的制度健全，并有良好的安全保障条件（学生实习必须办理安全保险）。</w:t>
      </w:r>
      <w:r>
        <w:rPr>
          <w:rFonts w:hint="eastAsia" w:ascii="楷体" w:hAnsi="楷体" w:eastAsia="楷体" w:cs="楷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2"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eastAsia="楷体"/>
          <w:b/>
          <w:bCs/>
          <w:sz w:val="28"/>
          <w:szCs w:val="28"/>
          <w:lang w:val="en-US" w:eastAsia="zh-CN"/>
        </w:rPr>
        <w:t>（三）教学资源</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1.教材选用基本要求</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按照国家的规定，遴选以国家或省十三五规划职业教育教材为主（80%以上），学校由专业教师初选、行业专家和教研人员等优化终选的方式选用教材，严格杜绝不合格的教材进入课堂。</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2.图书文献配备基本要求</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专业的图书馆图书以生均30册书配置，并逐季更新。包括有关旅游管理专业理论、技术、方法、思维以及实务操作类图书和文献。在数量和质量上能满足人才培养、专业建设、教科研等工作的需要，并能方便师生查询、借阅。</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3.数字教学资源配置基本要求</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仿宋_GB2312" w:hAnsi="仿宋_GB2312" w:eastAsia="仿宋_GB2312" w:cs="仿宋_GB2312"/>
          <w:sz w:val="28"/>
          <w:szCs w:val="28"/>
          <w:lang w:val="en-US" w:eastAsia="zh-CN"/>
        </w:rPr>
        <w:t>根据本专业的现实需要和动态发展，建设、配备有本专业有关的音视频素材、教学课件、数字化教学案例库、虚拟仿真软件、数字教材等专业教学资源库，种类丰富、形式多样、使用便捷、动态更新，能满足教学要求。另所在系部和教研室还创新自建案例库，将所有教师将自己的教学案例集中整理，资源共享，并随时更新，形成了专业教学的一大特色。</w:t>
      </w:r>
      <w:r>
        <w:rPr>
          <w:rFonts w:hint="eastAsia" w:ascii="楷体" w:hAnsi="楷体" w:eastAsia="楷体" w:cs="楷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2"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eastAsia="楷体"/>
          <w:b/>
          <w:bCs/>
          <w:sz w:val="28"/>
          <w:szCs w:val="28"/>
          <w:lang w:val="en-US" w:eastAsia="zh-CN"/>
        </w:rPr>
        <w:t>（四）教学方法</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从职业教育的应用性、技术性、适用性等要求出发。本专业的教学方法突出实践性特点：</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突出课堂教学情境化，在认知实习中贯穿教学做一体化，以案例分析、模拟情景、角色分工等各种灵活多样的方式，实现课堂教学中的教学做一体化，理实一体化教学方案的探索与提高。在提高学生学习兴趣的同时，融入岗位认知。</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探索跟岗实习和顶岗实习中的“师傅带徒弟”方式，本专业大二或大三合计安排5-7周集中或分期的跟岗实习，以及一学期的顶岗实习，在二种实习中，都探索现代学徒制，以“师傅带徒弟”的方便，让企业有实践经验的老员工、技术能手，手把手教学生。使学生在跟岗实习和顶岗实习的磨练中，完成从生手——熟手——能手的转变。实现从实习到就业专业技能的无缝衔接。</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仿宋_GB2312" w:hAnsi="仿宋_GB2312" w:eastAsia="仿宋_GB2312" w:cs="仿宋_GB2312"/>
          <w:sz w:val="28"/>
          <w:szCs w:val="28"/>
          <w:lang w:val="en-US" w:eastAsia="zh-CN"/>
        </w:rPr>
        <w:t>3.引入劳模教学示范课。本专业带头人为省级五一劳动奖获得者。专业教学中将充分利用这一资源，将劳模精神、劳模技能等各种方式传递到下一代。</w:t>
      </w:r>
      <w:r>
        <w:rPr>
          <w:rFonts w:hint="eastAsia" w:ascii="楷体" w:hAnsi="楷体" w:eastAsia="楷体" w:cs="楷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2"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eastAsia="楷体"/>
          <w:b/>
          <w:bCs/>
          <w:sz w:val="28"/>
          <w:szCs w:val="28"/>
          <w:lang w:val="en-US" w:eastAsia="zh-CN"/>
        </w:rPr>
        <w:t>（五）学习评价</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1.严格落实培养目标和培养规格要求，以考试、考查、实践报告等多元化的方式，完成对学生的各项能力的全面考核与评价。</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2.注重学生平时表现和实践性活动(包括道德修养、创新活动、到课率等的综合表现)，平时考评成绩所占比例大于40%。</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3.引入实习企业评价机制。在实习中，应以实习单位的评价作为主要实习成绩。</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4.以证代考。本专业将组织学生考导游证，如考取获证，相关课程免考，记载成绩为优秀。</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仿宋_GB2312" w:hAnsi="仿宋_GB2312" w:eastAsia="仿宋_GB2312" w:cs="仿宋_GB2312"/>
          <w:sz w:val="28"/>
          <w:szCs w:val="28"/>
          <w:lang w:val="en-US" w:eastAsia="zh-CN"/>
        </w:rPr>
        <w:t>5.毕业设计，根据具体情况，采取论文和实习报告等方式。</w:t>
      </w:r>
      <w:r>
        <w:rPr>
          <w:rFonts w:hint="eastAsia" w:ascii="楷体" w:hAnsi="楷体" w:eastAsia="楷体" w:cs="楷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2" w:firstLineChars="200"/>
        <w:jc w:val="left"/>
        <w:textAlignment w:val="auto"/>
        <w:outlineLvl w:val="9"/>
        <w:rPr>
          <w:rFonts w:hint="eastAsia" w:ascii="楷体" w:hAnsi="楷体" w:eastAsia="楷体" w:cs="楷体"/>
          <w:color w:val="000000"/>
          <w:kern w:val="0"/>
          <w:sz w:val="24"/>
          <w:szCs w:val="24"/>
          <w:lang w:val="en-US" w:eastAsia="zh-CN" w:bidi="ar"/>
        </w:rPr>
      </w:pPr>
      <w:r>
        <w:rPr>
          <w:rFonts w:hint="eastAsia" w:ascii="楷体" w:eastAsia="楷体"/>
          <w:b/>
          <w:bCs/>
          <w:sz w:val="28"/>
          <w:szCs w:val="28"/>
          <w:lang w:val="en-US" w:eastAsia="zh-CN"/>
        </w:rPr>
        <w:t>（六）质量管理</w:t>
      </w:r>
    </w:p>
    <w:p>
      <w:pPr>
        <w:keepNext w:val="0"/>
        <w:keepLines w:val="0"/>
        <w:widowControl/>
        <w:suppressLineNumbers w:val="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 达成人才培养规格。</w:t>
      </w:r>
    </w:p>
    <w:p>
      <w:pPr>
        <w:keepNext w:val="0"/>
        <w:keepLines w:val="0"/>
        <w:widowControl/>
        <w:suppressLineNumbers w:val="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widowControl/>
        <w:suppressLineNumbers w:val="0"/>
        <w:ind w:firstLine="560" w:firstLineChars="200"/>
        <w:jc w:val="left"/>
      </w:pPr>
      <w:r>
        <w:rPr>
          <w:rFonts w:hint="eastAsia" w:ascii="仿宋_GB2312" w:hAnsi="仿宋_GB2312" w:eastAsia="仿宋_GB2312" w:cs="仿宋_GB2312"/>
          <w:sz w:val="28"/>
          <w:szCs w:val="28"/>
          <w:lang w:val="en-US" w:eastAsia="zh-CN"/>
        </w:rPr>
        <w:t>3.学校应建立毕业生跟踪反馈机制及社会评价机制，并对生源情况、在校生学业水平、毕业生就业情况等进行分析，定期评价人才培养质量和培养目标达成情况。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ShuSong-Z01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0CA9203D"/>
    <w:rsid w:val="0CA92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footer"/>
    <w:basedOn w:val="1"/>
    <w:qFormat/>
    <w:uiPriority w:val="0"/>
    <w:pP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basedOn w:val="5"/>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2023-07-06T06:54:00Z</dcterms:created>
  <dc:creator>李阳</dc:creator>
  <cp:lastModifiedBy>李阳</cp:lastModifiedBy>
  <dcterms:modified xsi:type="dcterms:W3CDTF">2023-07-06T06:55:03Z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579FA876AFBD4F25B5BB81F7ACE7C9B7_11</vt:lpwstr>
  </property>
</Properties>
</file>