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650E7">
      <w:pPr>
        <w:spacing w:line="1000" w:lineRule="exact"/>
        <w:jc w:val="both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附件1</w:t>
      </w:r>
    </w:p>
    <w:p w14:paraId="201A3D9A">
      <w:pPr>
        <w:spacing w:line="10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color w:val="000000"/>
          <w:sz w:val="52"/>
          <w:highlight w:val="none"/>
          <w:shd w:val="clear" w:color="auto" w:fill="auto"/>
        </w:rPr>
      </w:pPr>
    </w:p>
    <w:p w14:paraId="6EAEC7F0">
      <w:pPr>
        <w:spacing w:line="10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color w:val="000000"/>
          <w:sz w:val="52"/>
          <w:highlight w:val="none"/>
          <w:shd w:val="clear" w:color="auto" w:fill="auto"/>
        </w:rPr>
      </w:pPr>
    </w:p>
    <w:p w14:paraId="230C36B0">
      <w:pPr>
        <w:spacing w:line="10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color w:val="000000"/>
          <w:sz w:val="52"/>
          <w:highlight w:val="none"/>
          <w:shd w:val="clear" w:color="auto" w:fill="auto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 w:val="0"/>
          <w:bCs/>
          <w:color w:val="000000"/>
          <w:sz w:val="52"/>
          <w:highlight w:val="none"/>
          <w:shd w:val="clear" w:color="auto" w:fill="auto"/>
        </w:rPr>
        <w:t>河南省社科联</w:t>
      </w:r>
    </w:p>
    <w:p w14:paraId="3585A6CD">
      <w:pPr>
        <w:spacing w:line="10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color w:val="000000"/>
          <w:sz w:val="52"/>
          <w:highlight w:val="none"/>
          <w:shd w:val="clear" w:color="auto" w:fill="auto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color w:val="000000"/>
          <w:sz w:val="52"/>
          <w:highlight w:val="none"/>
          <w:shd w:val="clear" w:color="auto" w:fill="auto"/>
        </w:rPr>
        <w:t>202</w:t>
      </w:r>
      <w:r>
        <w:rPr>
          <w:rFonts w:hint="eastAsia" w:ascii="方正大标宋简体" w:hAnsi="方正大标宋简体" w:eastAsia="方正大标宋简体" w:cs="方正大标宋简体"/>
          <w:b w:val="0"/>
          <w:bCs/>
          <w:color w:val="000000"/>
          <w:sz w:val="52"/>
          <w:highlight w:val="none"/>
          <w:shd w:val="clear" w:color="auto" w:fill="auto"/>
          <w:lang w:val="en-US" w:eastAsia="zh-CN"/>
        </w:rPr>
        <w:t>5</w:t>
      </w:r>
      <w:r>
        <w:rPr>
          <w:rFonts w:hint="eastAsia" w:ascii="方正大标宋简体" w:hAnsi="方正大标宋简体" w:eastAsia="方正大标宋简体" w:cs="方正大标宋简体"/>
          <w:b w:val="0"/>
          <w:bCs/>
          <w:color w:val="000000"/>
          <w:sz w:val="52"/>
          <w:highlight w:val="none"/>
          <w:shd w:val="clear" w:color="auto" w:fill="auto"/>
        </w:rPr>
        <w:t>年度调研课题指南</w:t>
      </w:r>
    </w:p>
    <w:bookmarkEnd w:id="0"/>
    <w:p w14:paraId="59086B33">
      <w:pPr>
        <w:spacing w:line="360" w:lineRule="auto"/>
        <w:jc w:val="center"/>
        <w:rPr>
          <w:rFonts w:hint="eastAsia" w:ascii="黑体" w:eastAsia="黑体"/>
          <w:color w:val="000000"/>
          <w:sz w:val="52"/>
          <w:highlight w:val="none"/>
          <w:shd w:val="clear" w:color="auto" w:fill="auto"/>
        </w:rPr>
      </w:pPr>
    </w:p>
    <w:p w14:paraId="6398FAEE">
      <w:pPr>
        <w:spacing w:line="360" w:lineRule="auto"/>
        <w:jc w:val="center"/>
        <w:rPr>
          <w:rFonts w:hint="eastAsia" w:ascii="黑体" w:eastAsia="黑体"/>
          <w:color w:val="000000"/>
          <w:sz w:val="52"/>
          <w:highlight w:val="none"/>
          <w:shd w:val="clear" w:color="auto" w:fill="auto"/>
        </w:rPr>
      </w:pPr>
    </w:p>
    <w:p w14:paraId="09929F05">
      <w:pPr>
        <w:spacing w:line="360" w:lineRule="auto"/>
        <w:jc w:val="center"/>
        <w:rPr>
          <w:rFonts w:hint="eastAsia" w:ascii="黑体" w:eastAsia="黑体"/>
          <w:color w:val="000000"/>
          <w:sz w:val="52"/>
          <w:highlight w:val="none"/>
          <w:shd w:val="clear" w:color="auto" w:fill="auto"/>
        </w:rPr>
      </w:pPr>
    </w:p>
    <w:p w14:paraId="3CD1A372">
      <w:pPr>
        <w:spacing w:line="360" w:lineRule="auto"/>
        <w:jc w:val="center"/>
        <w:rPr>
          <w:rFonts w:hint="eastAsia" w:ascii="黑体" w:eastAsia="黑体"/>
          <w:color w:val="000000"/>
          <w:sz w:val="52"/>
          <w:highlight w:val="none"/>
          <w:shd w:val="clear" w:color="auto" w:fill="auto"/>
        </w:rPr>
      </w:pPr>
    </w:p>
    <w:p w14:paraId="4DB82A73">
      <w:pPr>
        <w:spacing w:line="360" w:lineRule="auto"/>
        <w:jc w:val="center"/>
        <w:rPr>
          <w:rFonts w:hint="eastAsia" w:ascii="黑体" w:eastAsia="黑体"/>
          <w:color w:val="000000"/>
          <w:sz w:val="52"/>
          <w:highlight w:val="none"/>
          <w:shd w:val="clear" w:color="auto" w:fill="auto"/>
        </w:rPr>
      </w:pPr>
    </w:p>
    <w:p w14:paraId="5EC00446">
      <w:pPr>
        <w:spacing w:line="360" w:lineRule="auto"/>
        <w:jc w:val="center"/>
        <w:rPr>
          <w:rFonts w:hint="eastAsia" w:ascii="黑体" w:eastAsia="黑体"/>
          <w:color w:val="000000"/>
          <w:sz w:val="52"/>
          <w:highlight w:val="none"/>
          <w:shd w:val="clear" w:color="auto" w:fill="auto"/>
        </w:rPr>
      </w:pPr>
    </w:p>
    <w:p w14:paraId="09499957">
      <w:pPr>
        <w:spacing w:line="360" w:lineRule="auto"/>
        <w:jc w:val="center"/>
        <w:rPr>
          <w:rFonts w:hint="eastAsia" w:ascii="楷体_GB2312" w:eastAsia="楷体_GB2312"/>
          <w:color w:val="000000"/>
          <w:sz w:val="32"/>
          <w:highlight w:val="none"/>
          <w:shd w:val="clear" w:color="auto" w:fill="auto"/>
        </w:rPr>
      </w:pPr>
    </w:p>
    <w:p w14:paraId="56F12D28">
      <w:pPr>
        <w:spacing w:line="360" w:lineRule="auto"/>
        <w:jc w:val="center"/>
        <w:rPr>
          <w:rFonts w:hint="eastAsia" w:ascii="楷体_GB2312" w:eastAsia="楷体_GB2312"/>
          <w:color w:val="000000"/>
          <w:sz w:val="32"/>
          <w:highlight w:val="none"/>
          <w:shd w:val="clear" w:color="auto" w:fill="auto"/>
        </w:rPr>
      </w:pPr>
    </w:p>
    <w:p w14:paraId="3D1EBE78">
      <w:pPr>
        <w:spacing w:line="360" w:lineRule="auto"/>
        <w:jc w:val="center"/>
        <w:rPr>
          <w:rFonts w:hint="eastAsia" w:ascii="仿宋_GB2312" w:hAnsi="仿宋_GB2312" w:eastAsia="仿宋_GB2312" w:cs="仿宋_GB2312"/>
          <w:color w:val="000000"/>
          <w:sz w:val="32"/>
          <w:szCs w:val="24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24"/>
          <w:highlight w:val="none"/>
          <w:shd w:val="clear" w:color="auto" w:fill="auto"/>
        </w:rPr>
        <w:t>河南省社会科学界联合会</w:t>
      </w:r>
    </w:p>
    <w:p w14:paraId="55A57756">
      <w:pPr>
        <w:spacing w:line="360" w:lineRule="auto"/>
        <w:jc w:val="center"/>
        <w:rPr>
          <w:rFonts w:hint="eastAsia" w:ascii="仿宋_GB2312" w:hAnsi="仿宋_GB2312" w:eastAsia="仿宋_GB2312" w:cs="仿宋_GB2312"/>
          <w:color w:val="000000"/>
          <w:sz w:val="32"/>
          <w:szCs w:val="24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24"/>
          <w:highlight w:val="none"/>
          <w:shd w:val="clear" w:color="auto" w:fill="auto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highlight w:val="none"/>
          <w:shd w:val="clear" w:color="auto" w:fill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highlight w:val="none"/>
          <w:shd w:val="clear" w:color="auto" w:fill="auto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highlight w:val="none"/>
          <w:shd w:val="clear" w:color="auto" w:fill="auto"/>
        </w:rPr>
        <w:t>月</w:t>
      </w:r>
    </w:p>
    <w:p w14:paraId="369A506D">
      <w:pPr>
        <w:spacing w:line="420" w:lineRule="exact"/>
        <w:jc w:val="both"/>
        <w:rPr>
          <w:rFonts w:hint="eastAsia" w:ascii="黑体" w:eastAsia="黑体"/>
          <w:color w:val="000000"/>
          <w:sz w:val="36"/>
          <w:highlight w:val="none"/>
          <w:shd w:val="clear" w:color="auto" w:fill="auto"/>
        </w:rPr>
      </w:pPr>
    </w:p>
    <w:p w14:paraId="3A97AA8A">
      <w:pPr>
        <w:spacing w:line="420" w:lineRule="exact"/>
        <w:jc w:val="center"/>
        <w:rPr>
          <w:rFonts w:hint="eastAsia" w:ascii="黑体" w:eastAsia="黑体"/>
          <w:color w:val="000000"/>
          <w:sz w:val="36"/>
          <w:highlight w:val="none"/>
          <w:shd w:val="clear" w:color="auto" w:fill="auto"/>
        </w:rPr>
      </w:pPr>
    </w:p>
    <w:p w14:paraId="60617CF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eastAsia="黑体"/>
          <w:color w:val="000000"/>
          <w:sz w:val="36"/>
          <w:highlight w:val="none"/>
        </w:rPr>
      </w:pPr>
    </w:p>
    <w:p w14:paraId="456DC43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eastAsia="黑体"/>
          <w:color w:val="000000"/>
          <w:sz w:val="36"/>
          <w:highlight w:val="none"/>
        </w:rPr>
      </w:pPr>
      <w:r>
        <w:rPr>
          <w:rFonts w:hint="eastAsia" w:ascii="黑体" w:eastAsia="黑体"/>
          <w:color w:val="000000"/>
          <w:sz w:val="36"/>
          <w:highlight w:val="none"/>
        </w:rPr>
        <w:t>说    明</w:t>
      </w:r>
    </w:p>
    <w:p w14:paraId="0C9EB01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 w:ascii="仿宋_GB2312" w:eastAsia="仿宋_GB2312"/>
          <w:color w:val="000000"/>
          <w:sz w:val="24"/>
          <w:highlight w:val="none"/>
        </w:rPr>
      </w:pPr>
    </w:p>
    <w:p w14:paraId="2525D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</w:pPr>
      <w:r>
        <w:rPr>
          <w:rFonts w:hint="eastAsia" w:ascii="仿宋" w:hAnsi="仿宋" w:eastAsia="仿宋"/>
          <w:bCs/>
          <w:color w:val="000000"/>
          <w:sz w:val="24"/>
          <w:highlight w:val="none"/>
        </w:rPr>
        <w:t>一、《河南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省社科联202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年度调</w:t>
      </w:r>
      <w:r>
        <w:rPr>
          <w:rFonts w:hint="eastAsia" w:ascii="仿宋" w:hAnsi="仿宋" w:eastAsia="仿宋"/>
          <w:bCs/>
          <w:color w:val="000000"/>
          <w:sz w:val="24"/>
          <w:highlight w:val="none"/>
        </w:rPr>
        <w:t>研课题指南》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/>
          <w:bCs/>
          <w:color w:val="000000"/>
          <w:sz w:val="24"/>
          <w:highlight w:val="none"/>
        </w:rPr>
        <w:t>以下简称《指南》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），</w:t>
      </w:r>
      <w:r>
        <w:rPr>
          <w:rFonts w:hint="eastAsia" w:ascii="仿宋" w:hAnsi="仿宋" w:eastAsia="仿宋"/>
          <w:bCs/>
          <w:color w:val="000000"/>
          <w:sz w:val="24"/>
          <w:highlight w:val="none"/>
        </w:rPr>
        <w:t>坚持以习近平新时代中国特色社会主义思想为指导，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贯彻落实</w:t>
      </w:r>
      <w:r>
        <w:rPr>
          <w:rFonts w:hint="eastAsia" w:ascii="仿宋" w:hAnsi="仿宋" w:eastAsia="仿宋"/>
          <w:bCs/>
          <w:color w:val="000000"/>
          <w:sz w:val="24"/>
          <w:highlight w:val="none"/>
        </w:rPr>
        <w:t>党的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二十大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val="en-US" w:eastAsia="zh-CN"/>
        </w:rPr>
        <w:t>和二十届二中、三中全会精神，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落实省委十一届八次全会暨省委经济工作会议部署，</w:t>
      </w:r>
      <w:r>
        <w:rPr>
          <w:rFonts w:hint="eastAsia" w:ascii="仿宋" w:hAnsi="仿宋" w:eastAsia="仿宋"/>
          <w:bCs/>
          <w:color w:val="000000"/>
          <w:sz w:val="24"/>
          <w:highlight w:val="none"/>
        </w:rPr>
        <w:t>聚焦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val="en-US" w:eastAsia="zh-CN"/>
        </w:rPr>
        <w:t>“四高四争先”，围绕党的理论创新、我省经济社会发展重大需求和重大战略实施等重点热点难点问题，</w:t>
      </w:r>
      <w:r>
        <w:rPr>
          <w:rFonts w:hint="eastAsia" w:ascii="仿宋" w:hAnsi="仿宋" w:eastAsia="仿宋"/>
          <w:bCs/>
          <w:color w:val="000000"/>
          <w:sz w:val="24"/>
          <w:highlight w:val="none"/>
        </w:rPr>
        <w:t>着力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开展</w:t>
      </w:r>
      <w:r>
        <w:rPr>
          <w:rFonts w:hint="eastAsia" w:ascii="仿宋" w:hAnsi="仿宋" w:eastAsia="仿宋"/>
          <w:bCs/>
          <w:color w:val="000000"/>
          <w:sz w:val="24"/>
          <w:highlight w:val="none"/>
        </w:rPr>
        <w:t>前瞻性、全局性、战略性研究，大力推动实践基础上的理论创新，力争推出有理论说服力、有实践指导意义、有决策参考价值的精品力作，为服务省委省政府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科学决策</w:t>
      </w:r>
      <w:r>
        <w:rPr>
          <w:rFonts w:hint="eastAsia"/>
          <w:color w:val="000000"/>
          <w:highlight w:val="none"/>
          <w:lang w:eastAsia="zh-CN"/>
        </w:rPr>
        <w:t>、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谱写中国式现代化河南篇章提供切实有效的智力支持。</w:t>
      </w:r>
    </w:p>
    <w:p w14:paraId="72A41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/>
          <w:bCs/>
          <w:color w:val="000000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二、</w:t>
      </w:r>
      <w:r>
        <w:rPr>
          <w:rFonts w:hint="eastAsia" w:ascii="仿宋" w:hAnsi="仿宋" w:eastAsia="仿宋" w:cs="Times New Roman"/>
          <w:bCs/>
          <w:color w:val="000000"/>
          <w:sz w:val="24"/>
          <w:highlight w:val="none"/>
          <w:lang w:eastAsia="zh-CN"/>
        </w:rPr>
        <w:t>课题指南中的选题可按原题申报，也可在指南选题方向下结合自己的研究专长自拟题目，题目拟定要科学、严谨、规范、简明</w:t>
      </w:r>
      <w:r>
        <w:rPr>
          <w:rFonts w:hint="eastAsia" w:ascii="仿宋" w:hAnsi="仿宋" w:eastAsia="仿宋" w:cs="Times New Roman"/>
          <w:bCs/>
          <w:color w:val="000000"/>
          <w:sz w:val="24"/>
          <w:highlight w:val="none"/>
          <w:lang w:val="en-US" w:eastAsia="zh-CN"/>
        </w:rPr>
        <w:t>；</w:t>
      </w:r>
      <w:r>
        <w:rPr>
          <w:rFonts w:hint="eastAsia" w:ascii="仿宋" w:hAnsi="仿宋" w:eastAsia="仿宋" w:cs="Times New Roman"/>
          <w:b/>
          <w:bCs w:val="0"/>
          <w:color w:val="000000"/>
          <w:sz w:val="24"/>
          <w:highlight w:val="none"/>
          <w:lang w:val="en-US" w:eastAsia="zh-CN"/>
        </w:rPr>
        <w:t>不</w:t>
      </w:r>
      <w:r>
        <w:rPr>
          <w:rFonts w:hint="eastAsia" w:ascii="仿宋" w:hAnsi="仿宋" w:eastAsia="仿宋"/>
          <w:b/>
          <w:bCs w:val="0"/>
          <w:color w:val="000000"/>
          <w:sz w:val="24"/>
          <w:highlight w:val="none"/>
          <w:lang w:val="en-US" w:eastAsia="zh-CN"/>
        </w:rPr>
        <w:t>接受自选方向课题。</w:t>
      </w:r>
    </w:p>
    <w:p w14:paraId="2BC5C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</w:pP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三、</w:t>
      </w:r>
      <w:r>
        <w:rPr>
          <w:rFonts w:hint="eastAsia" w:ascii="仿宋" w:hAnsi="仿宋" w:eastAsia="仿宋"/>
          <w:b w:val="0"/>
          <w:bCs/>
          <w:color w:val="000000"/>
          <w:sz w:val="24"/>
          <w:highlight w:val="none"/>
          <w:lang w:eastAsia="zh-CN"/>
        </w:rPr>
        <w:t>课题申报流程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。202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年度省社科联调研课题实行网络申报。申报人需登录中原人文社科网“河南省社科联调研课题管理信息系统”（http://222.143.64.226/dykt/system.login），通过申报系统上传申报表。课题申报系统于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val="en-US" w:eastAsia="zh-CN"/>
        </w:rPr>
        <w:t>2025年</w:t>
      </w:r>
      <w:r>
        <w:rPr>
          <w:rFonts w:hint="default" w:ascii="仿宋" w:hAnsi="仿宋" w:eastAsia="仿宋"/>
          <w:bCs/>
          <w:color w:val="000000"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月</w:t>
      </w:r>
      <w:r>
        <w:rPr>
          <w:rFonts w:hint="default" w:ascii="仿宋" w:hAnsi="仿宋" w:eastAsia="仿宋"/>
          <w:bCs/>
          <w:color w:val="000000"/>
          <w:sz w:val="24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日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时至</w:t>
      </w:r>
      <w:r>
        <w:rPr>
          <w:rFonts w:hint="default" w:ascii="仿宋" w:hAnsi="仿宋" w:eastAsia="仿宋"/>
          <w:bCs/>
          <w:color w:val="000000"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月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val="en-US" w:eastAsia="zh-CN"/>
        </w:rPr>
        <w:t>1</w:t>
      </w:r>
      <w:r>
        <w:rPr>
          <w:rFonts w:hint="default" w:ascii="仿宋" w:hAnsi="仿宋" w:eastAsia="仿宋"/>
          <w:bCs/>
          <w:color w:val="000000"/>
          <w:sz w:val="24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日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时开放，逾期系统自动关闭，不再受理。有关申报系统流程及技术问题请咨询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val="en-US" w:eastAsia="zh-CN"/>
        </w:rPr>
        <w:t>0371—60303090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，电子信箱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val="en-US" w:eastAsia="zh-CN"/>
        </w:rPr>
        <w:t>hnzhgn@qq.com。</w:t>
      </w:r>
    </w:p>
    <w:p w14:paraId="216FB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/>
          <w:color w:val="000000"/>
          <w:sz w:val="24"/>
          <w:highlight w:val="none"/>
          <w:lang w:eastAsia="zh-CN"/>
        </w:rPr>
      </w:pP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四、</w:t>
      </w:r>
      <w:r>
        <w:rPr>
          <w:rFonts w:hint="eastAsia" w:ascii="仿宋" w:hAnsi="仿宋" w:eastAsia="仿宋"/>
          <w:b w:val="0"/>
          <w:bCs/>
          <w:color w:val="000000"/>
          <w:sz w:val="24"/>
          <w:highlight w:val="none"/>
          <w:lang w:eastAsia="zh-CN"/>
        </w:rPr>
        <w:t>课题验收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。</w:t>
      </w:r>
      <w:r>
        <w:rPr>
          <w:rFonts w:hint="eastAsia" w:ascii="仿宋" w:hAnsi="仿宋" w:eastAsia="仿宋"/>
          <w:b/>
          <w:bCs w:val="0"/>
          <w:color w:val="000000"/>
          <w:sz w:val="24"/>
          <w:highlight w:val="none"/>
          <w:lang w:eastAsia="zh-CN"/>
        </w:rPr>
        <w:t>申报课题获准立项后，课题主持人、成员不得更换。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主持人应按照《立项通知书》要求，在规定时间内完成课题调研与报告撰写任务，按照时间要求将课题报告提交至“河南省社科联调研课题管理系统”。经专家组评审</w:t>
      </w:r>
      <w:r>
        <w:rPr>
          <w:rFonts w:hint="eastAsia" w:ascii="仿宋" w:hAnsi="仿宋" w:eastAsia="仿宋"/>
          <w:color w:val="000000"/>
          <w:sz w:val="24"/>
          <w:highlight w:val="none"/>
          <w:lang w:eastAsia="zh-CN"/>
        </w:rPr>
        <w:t>后，对验收合格的课题成果，向课题组成员颁发结项证书。</w:t>
      </w:r>
    </w:p>
    <w:p w14:paraId="177EE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" w:hAnsi="仿宋" w:eastAsia="仿宋"/>
          <w:color w:val="000000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000000"/>
          <w:sz w:val="24"/>
          <w:highlight w:val="none"/>
          <w:lang w:eastAsia="zh-CN"/>
        </w:rPr>
        <w:t>联系地址：郑州市丰产路23号河南省社科联学会处</w:t>
      </w:r>
      <w:r>
        <w:rPr>
          <w:rFonts w:hint="eastAsia" w:ascii="仿宋" w:hAnsi="仿宋" w:eastAsia="仿宋"/>
          <w:color w:val="000000"/>
          <w:sz w:val="24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color w:val="000000"/>
          <w:sz w:val="24"/>
          <w:highlight w:val="none"/>
          <w:lang w:eastAsia="zh-CN"/>
        </w:rPr>
        <w:t>邮 编：450002</w:t>
      </w:r>
    </w:p>
    <w:p w14:paraId="16B8A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" w:hAnsi="仿宋" w:eastAsia="仿宋"/>
          <w:color w:val="000000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000000"/>
          <w:sz w:val="24"/>
          <w:highlight w:val="none"/>
          <w:lang w:eastAsia="zh-CN"/>
        </w:rPr>
        <w:t>电子信箱：</w:t>
      </w:r>
      <w:r>
        <w:rPr>
          <w:rFonts w:hint="eastAsia" w:ascii="仿宋" w:hAnsi="仿宋" w:eastAsia="仿宋"/>
          <w:color w:val="000000"/>
          <w:sz w:val="24"/>
          <w:highlight w:val="none"/>
          <w:lang w:val="en-US" w:eastAsia="zh-CN"/>
        </w:rPr>
        <w:t xml:space="preserve">hnsklketi@163.com  </w:t>
      </w:r>
      <w:r>
        <w:rPr>
          <w:rFonts w:hint="eastAsia" w:ascii="仿宋" w:hAnsi="仿宋" w:eastAsia="仿宋"/>
          <w:color w:val="000000"/>
          <w:sz w:val="24"/>
          <w:highlight w:val="none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sz w:val="24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sz w:val="24"/>
          <w:highlight w:val="none"/>
          <w:lang w:eastAsia="zh-CN"/>
        </w:rPr>
        <w:t>电 话：0371</w:t>
      </w:r>
      <w:r>
        <w:rPr>
          <w:rFonts w:hint="eastAsia" w:ascii="仿宋" w:hAnsi="仿宋" w:eastAsia="仿宋"/>
          <w:color w:val="000000"/>
          <w:sz w:val="24"/>
          <w:highlight w:val="none"/>
          <w:lang w:val="en-US" w:eastAsia="zh-CN"/>
        </w:rPr>
        <w:t>—</w:t>
      </w:r>
      <w:r>
        <w:rPr>
          <w:rFonts w:hint="eastAsia" w:ascii="仿宋" w:hAnsi="仿宋" w:eastAsia="仿宋"/>
          <w:color w:val="000000"/>
          <w:sz w:val="24"/>
          <w:highlight w:val="none"/>
          <w:lang w:eastAsia="zh-CN"/>
        </w:rPr>
        <w:t>6393606</w:t>
      </w:r>
      <w:r>
        <w:rPr>
          <w:rFonts w:hint="eastAsia" w:ascii="仿宋" w:hAnsi="仿宋" w:eastAsia="仿宋"/>
          <w:color w:val="000000"/>
          <w:sz w:val="24"/>
          <w:highlight w:val="none"/>
          <w:lang w:val="en-US" w:eastAsia="zh-CN"/>
        </w:rPr>
        <w:t xml:space="preserve">1 </w:t>
      </w:r>
    </w:p>
    <w:p w14:paraId="1E0D6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20" w:lineRule="exact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highlight w:val="none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p w14:paraId="340FFD97">
      <w:pPr>
        <w:pStyle w:val="2"/>
        <w:rPr>
          <w:rFonts w:hint="eastAsia"/>
          <w:color w:val="000000"/>
          <w:highlight w:val="none"/>
          <w:lang w:eastAsia="zh-CN"/>
        </w:rPr>
      </w:pPr>
    </w:p>
    <w:p w14:paraId="1AD7F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highlight w:val="none"/>
          <w:lang w:eastAsia="zh-CN"/>
        </w:rPr>
        <w:t>河南省社科联202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highlight w:val="none"/>
          <w:lang w:eastAsia="zh-CN"/>
        </w:rPr>
        <w:t>年度调研课题指南</w:t>
      </w:r>
    </w:p>
    <w:p w14:paraId="7B000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/>
          <w:b w:val="0"/>
          <w:bCs w:val="0"/>
          <w:color w:val="000000"/>
          <w:sz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highlight w:val="none"/>
          <w:lang w:eastAsia="zh-CN"/>
        </w:rPr>
        <w:t>参考选题（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highlight w:val="none"/>
          <w:lang w:val="en-US" w:eastAsia="zh-CN"/>
        </w:rPr>
        <w:t>216项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highlight w:val="none"/>
          <w:lang w:eastAsia="zh-CN"/>
        </w:rPr>
        <w:t>）</w:t>
      </w:r>
    </w:p>
    <w:p w14:paraId="1259C9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</w:p>
    <w:p w14:paraId="393DC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  <w:t>马列·科社</w:t>
      </w:r>
    </w:p>
    <w:p w14:paraId="643ED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  <w:highlight w:val="none"/>
          <w:lang w:val="en-US" w:eastAsia="zh-CN"/>
        </w:rPr>
        <w:t>1.习近平新时代中国特色社会主义思想体系化学理化研究阐释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（可分领域研究）</w:t>
      </w:r>
    </w:p>
    <w:p w14:paraId="26D348D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2.习近平文化思想的理论创新与精神实质研究</w:t>
      </w:r>
    </w:p>
    <w:p w14:paraId="1AC2FCD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3.习近平文化思想的“体用关系”与实践价值研究</w:t>
      </w:r>
    </w:p>
    <w:p w14:paraId="47A9BF2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4.“两个结合”与马克思主义中国化时代化研究</w:t>
      </w:r>
    </w:p>
    <w:p w14:paraId="4CCA6E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5.推进新时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代马克思主义理论研究和建设工程高质量发展研究</w:t>
      </w:r>
    </w:p>
    <w:p w14:paraId="665C93C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6.习近平总书记关于河南工作重要论述的理论研究（整体性阐释、分领域论述均可）</w:t>
      </w:r>
    </w:p>
    <w:p w14:paraId="0E2129D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firstLine="0" w:firstLineChars="0"/>
        <w:jc w:val="left"/>
        <w:textAlignment w:val="auto"/>
        <w:rPr>
          <w:rFonts w:hint="eastAsia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7.习近平新时代中国特色社会主义思想的河南实践研究</w:t>
      </w:r>
    </w:p>
    <w:p w14:paraId="3462F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8.习近平经济思想的河南实践研究</w:t>
      </w:r>
    </w:p>
    <w:p w14:paraId="59D67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9.习近平法治思想的河南实践研究</w:t>
      </w:r>
    </w:p>
    <w:p w14:paraId="6EEB5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10.习近平生态文明思想的河南实践研究</w:t>
      </w:r>
    </w:p>
    <w:p w14:paraId="1FEA8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11.习近平文化思想的河南实践研究</w:t>
      </w:r>
    </w:p>
    <w:p w14:paraId="736827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铸牢中华民族共同体意识的实践研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究</w:t>
      </w:r>
    </w:p>
    <w:p w14:paraId="55DFA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13.中国式现代化建设的河南实践与成效评估研究</w:t>
      </w:r>
    </w:p>
    <w:p w14:paraId="370FB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14.党的创新理论宣传普及通俗化大众化研究</w:t>
      </w:r>
    </w:p>
    <w:p w14:paraId="0512A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15.推动河南宣传思想文化工作高质量发展研究</w:t>
      </w:r>
    </w:p>
    <w:p w14:paraId="381E8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16.新时代河南文化体制改革的成就与经验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研究</w:t>
      </w:r>
    </w:p>
    <w:p w14:paraId="0D396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17.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河南优秀传统文化资源与社会主义核心价值观融合路径研究</w:t>
      </w:r>
    </w:p>
    <w:p w14:paraId="20BC3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</w:pPr>
    </w:p>
    <w:p w14:paraId="38FC8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  <w:t>党史·党建</w:t>
      </w:r>
    </w:p>
    <w:p w14:paraId="6A369D1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18.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习近平总书记关于党的建设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的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重要思想的原创性贡献研究</w:t>
      </w:r>
    </w:p>
    <w:p w14:paraId="39E1F2E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19.</w:t>
      </w:r>
      <w:r>
        <w:rPr>
          <w:rFonts w:hint="default" w:ascii="仿宋_GB2312" w:hAnsi="仿宋_GB2312" w:eastAsia="仿宋_GB2312" w:cs="仿宋_GB2312"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习近平总书记关于党的自我革命</w:t>
      </w:r>
      <w:r>
        <w:rPr>
          <w:rFonts w:hint="eastAsia" w:ascii="仿宋_GB2312" w:hAnsi="仿宋_GB2312" w:eastAsia="仿宋_GB2312" w:cs="仿宋_GB2312"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的</w:t>
      </w:r>
      <w:r>
        <w:rPr>
          <w:rFonts w:hint="default" w:ascii="仿宋_GB2312" w:hAnsi="仿宋_GB2312" w:eastAsia="仿宋_GB2312" w:cs="仿宋_GB2312"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重要思想的思维方法研究</w:t>
      </w:r>
    </w:p>
    <w:p w14:paraId="60D4BCF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20.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中国共产党推进中华民族共同体建设的理论与实践研究</w:t>
      </w:r>
    </w:p>
    <w:p w14:paraId="152853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21.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中国共产党推进“两个结合”的历程与经验研究</w:t>
      </w:r>
    </w:p>
    <w:p w14:paraId="04E3334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22.以纪律建设深入推进党的自我革命实践研究</w:t>
      </w:r>
    </w:p>
    <w:p w14:paraId="0F43811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23.以自我革命破解大党独有难题的实践路径研究</w:t>
      </w:r>
    </w:p>
    <w:p w14:paraId="081B89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24.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以党的自我革命引领社会革命的演进与历史经验研究</w:t>
      </w:r>
    </w:p>
    <w:p w14:paraId="3FBAF45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25.坚持用改革精神和严的标准管党治党的理论创新研究</w:t>
      </w:r>
    </w:p>
    <w:p w14:paraId="6BE95FF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26.坚持党性党风党纪一起抓的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实践路径研究</w:t>
      </w:r>
    </w:p>
    <w:p w14:paraId="3433AD7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27.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全面从严治党与激励干部担当作为契合发展研究</w:t>
      </w:r>
    </w:p>
    <w:p w14:paraId="6B29E4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28.新时代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坚持和巩固党的文化领导权的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重要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着力点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研究</w:t>
      </w:r>
    </w:p>
    <w:p w14:paraId="5A1C781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29.河南加强新兴领域党建工作的路径研究</w:t>
      </w:r>
    </w:p>
    <w:p w14:paraId="2F0A831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30.河南党建引领基层高效能治理机制创新研究</w:t>
      </w:r>
    </w:p>
    <w:p w14:paraId="52AA8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31.河南提高党员队伍建设质量研究</w:t>
      </w:r>
    </w:p>
    <w:p w14:paraId="591B4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32.新时代增强农村基层党组织政治功能和组织功能研究</w:t>
      </w:r>
    </w:p>
    <w:p w14:paraId="21967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33.关于加强基层干部队伍建设研究</w:t>
      </w:r>
    </w:p>
    <w:p w14:paraId="165A2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</w:pPr>
    </w:p>
    <w:p w14:paraId="4AB2E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  <w:fldChar w:fldCharType="begin"/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  <w:instrText xml:space="preserve"> HYPERLINK \l "_Toc60086856" </w:instrTex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  <w:fldChar w:fldCharType="separate"/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  <w:t>哲学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  <w:fldChar w:fldCharType="end"/>
      </w:r>
    </w:p>
    <w:p w14:paraId="59132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34.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习近平新时代中国特色社会主义思想的哲学研究</w:t>
      </w:r>
    </w:p>
    <w:p w14:paraId="1CDBE39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35.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习近平文化思想的哲学阐释</w:t>
      </w:r>
    </w:p>
    <w:p w14:paraId="4B98972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36.习近平文化思想对中华文化主体性建构的原创性贡献研究</w:t>
      </w:r>
    </w:p>
    <w:p w14:paraId="1BE3754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37.“两个结合”巩固文化主体性的实现路径研究</w:t>
      </w:r>
    </w:p>
    <w:p w14:paraId="6AD7C17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38.“第二个结合”的方法论创新研究</w:t>
      </w:r>
    </w:p>
    <w:p w14:paraId="4671EAD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39.中国特色哲学社会科学评价体系建设研究</w:t>
      </w:r>
    </w:p>
    <w:p w14:paraId="3A8BAD9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40.推进新时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代哲学社会科学创新工程高质量实施研究</w:t>
      </w:r>
    </w:p>
    <w:p w14:paraId="74EB512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41.中国哲学社会科学自主知识体系构建研究</w:t>
      </w:r>
    </w:p>
    <w:p w14:paraId="0EE7499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42.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以人类命运共同体理念塑造人类文明新形态的哲学阐释</w:t>
      </w:r>
    </w:p>
    <w:p w14:paraId="40274BC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43.中华文明特质与形态的哲学基础研究</w:t>
      </w:r>
    </w:p>
    <w:p w14:paraId="0D748B6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44.中华传统哲学标识性概念的当下激活与重释研究</w:t>
      </w:r>
    </w:p>
    <w:p w14:paraId="54BD2A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45.人工智能在哲学领域的应用与挑战</w:t>
      </w:r>
    </w:p>
    <w:p w14:paraId="542FB1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lang w:eastAsia="zh-CN"/>
        </w:rPr>
      </w:pPr>
    </w:p>
    <w:p w14:paraId="023419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lang w:eastAsia="zh-CN"/>
        </w:rPr>
        <w:t>政治学</w:t>
      </w:r>
    </w:p>
    <w:p w14:paraId="6E9102B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46.习近平总书记关于坚持好、发展好、完善好中国新型政党制度的重要论述研究</w:t>
      </w:r>
    </w:p>
    <w:p w14:paraId="6DC7BF1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47.中国新型政党制度的内涵要义、生成逻辑、内在结构、运行机制和价值功能研究</w:t>
      </w:r>
    </w:p>
    <w:p w14:paraId="28796D6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48.中国式现代化进程中党的政治领导力建设研究</w:t>
      </w:r>
    </w:p>
    <w:p w14:paraId="28AD65C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49.坚持以制度建设为主线推进全面深化改革的实施路径研究</w:t>
      </w:r>
    </w:p>
    <w:p w14:paraId="4B64518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50.我省民主党派成员思想态势与思想政治工作机制研究</w:t>
      </w:r>
    </w:p>
    <w:p w14:paraId="6757A0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51.</w:t>
      </w:r>
      <w:r>
        <w:rPr>
          <w:rFonts w:hint="default" w:ascii="仿宋_GB2312" w:hAnsi="仿宋_GB2312" w:eastAsia="仿宋_GB2312" w:cs="仿宋_GB2312"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一体推进“三不腐”系统施治净化政治生态的河南实践研究</w:t>
      </w:r>
    </w:p>
    <w:p w14:paraId="052BD3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52.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地方政府数字化转型的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实践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路径研究</w:t>
      </w:r>
    </w:p>
    <w:p w14:paraId="03DA35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53.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“网红城市”的社会风险及其治理研究</w:t>
      </w:r>
    </w:p>
    <w:p w14:paraId="526C0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54.提高基层治理社会化、法治化、智能化、专业化水平研究</w:t>
      </w:r>
    </w:p>
    <w:p w14:paraId="63C15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55.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人口流失县城的治理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困难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及其策略研究</w:t>
      </w:r>
    </w:p>
    <w:p w14:paraId="7A983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56.基层负担生成与基层减负路径研究</w:t>
      </w:r>
    </w:p>
    <w:p w14:paraId="54FFF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57.提升基层人大践行全过程人民民主治理效能研究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58.引导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新就业群体参与基层社会治理研究</w:t>
      </w:r>
    </w:p>
    <w:p w14:paraId="373E7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59.河南数字乡村“智慧治理”的实践模式与优化路径研究</w:t>
      </w:r>
    </w:p>
    <w:p w14:paraId="201F6C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</w:p>
    <w:p w14:paraId="6A3B9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fldChar w:fldCharType="begin"/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instrText xml:space="preserve"> HYPERLINK \l "_Toc60086861" </w:instrTex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fldChar w:fldCharType="separate"/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法学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fldChar w:fldCharType="end"/>
      </w:r>
    </w:p>
    <w:p w14:paraId="3F1F5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60.习近平法治思想对中国特色社会主义法治理论的创新研究</w:t>
      </w:r>
    </w:p>
    <w:p w14:paraId="080F1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61.努力建设更高水平的法治中国、法治河南研究</w:t>
      </w:r>
    </w:p>
    <w:p w14:paraId="6AF74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62.中国法学自主知识体系构建研究</w:t>
      </w:r>
    </w:p>
    <w:p w14:paraId="4BB42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63.《民法典》实施中的重大理论和前沿问题研究</w:t>
      </w:r>
    </w:p>
    <w:p w14:paraId="595B9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64.新兴互联网金融犯罪的刑法规制研究</w:t>
      </w:r>
    </w:p>
    <w:p w14:paraId="2FFD4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65.数字时代算法消费者权益保护研究</w:t>
      </w:r>
    </w:p>
    <w:p w14:paraId="4D695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66.生成式人工智能的法律风险与治理研究</w:t>
      </w:r>
    </w:p>
    <w:p w14:paraId="217F1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67.新科技革命背景下知识产权理论与法治创新研究</w:t>
      </w:r>
    </w:p>
    <w:p w14:paraId="3B7CE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68.数字化转型背景下网络空间数据主权的法律治理研究</w:t>
      </w:r>
    </w:p>
    <w:p w14:paraId="1C926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69.医改背景下医师职业权益的法治保障体系构建</w:t>
      </w:r>
    </w:p>
    <w:p w14:paraId="6A9B2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70.加强新就业群体权益法治保障研究</w:t>
      </w:r>
    </w:p>
    <w:p w14:paraId="62EF3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71.区域法治协同推进黄河流域生态保护和高质量发展研究</w:t>
      </w:r>
    </w:p>
    <w:p w14:paraId="098916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72.基层治理法治化的河南模式与实践研究</w:t>
      </w:r>
    </w:p>
    <w:p w14:paraId="51968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黑体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  <w:lang w:eastAsia="zh-CN"/>
        </w:rPr>
        <w:t>社会</w:t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t>学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  <w:t>·</w:t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  <w:lang w:eastAsia="zh-CN"/>
        </w:rPr>
        <w:t>管理学</w:t>
      </w:r>
    </w:p>
    <w:p w14:paraId="1E337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73.人工智能时代结构性失业的风险演化与治理研究</w:t>
      </w:r>
    </w:p>
    <w:p w14:paraId="10669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4.数智时代青年群体新就业形态的结构变迁研究</w:t>
      </w:r>
    </w:p>
    <w:p w14:paraId="1C788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75.“内卷”状态下青年群体心理健康问题及干预研究</w:t>
      </w:r>
    </w:p>
    <w:p w14:paraId="2CFF4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76.青少年短视频成瘾发展机制及干预研究</w:t>
      </w:r>
    </w:p>
    <w:p w14:paraId="3F1355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77.Z世代青年婚姻意愿的传承与变化研究</w:t>
      </w:r>
    </w:p>
    <w:p w14:paraId="7F3A1C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78.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河南省青年创业发展现状和政策支持研究</w:t>
      </w:r>
    </w:p>
    <w:p w14:paraId="34FE5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79.河南完善新就业形态人员社会保障制度研究</w:t>
      </w:r>
    </w:p>
    <w:p w14:paraId="0B8AF6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80.河南建立健全多层次多支柱养老保险体系研究</w:t>
      </w:r>
    </w:p>
    <w:p w14:paraId="7F98CF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81.河南支持发展公益慈善事业的体制机制研究</w:t>
      </w:r>
    </w:p>
    <w:p w14:paraId="678941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82.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基于大数据的河南省社会救助对象精准识别与动态管理研究</w:t>
      </w:r>
    </w:p>
    <w:p w14:paraId="1756C0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83.数智化背景下河南医疗卫生监管体系研究</w:t>
      </w:r>
    </w:p>
    <w:p w14:paraId="18B570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84.新时代“枫桥经验”视域下河南基层社会治理创新研究</w:t>
      </w:r>
    </w:p>
    <w:p w14:paraId="7817A5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85.宜居宜业和美乡村建设中“居业共同体”的实现机制研究</w:t>
      </w:r>
    </w:p>
    <w:p w14:paraId="6398B0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86.河南省生态环境多元主体协同治理研究</w:t>
      </w:r>
    </w:p>
    <w:p w14:paraId="7D84F6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87.河南省土地利用时空演变及趋势预测研究</w:t>
      </w:r>
    </w:p>
    <w:p w14:paraId="5FA1F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88.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黄河流域生态保护和高质量发展的跨区域协同治理机制研究</w:t>
      </w:r>
    </w:p>
    <w:p w14:paraId="53FA14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89.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河南省沿黄地区生态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规划与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保护调查研究</w:t>
      </w:r>
    </w:p>
    <w:p w14:paraId="04538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90.推进共同富裕进程中河南公共服务均等化的实现路径研究</w:t>
      </w:r>
    </w:p>
    <w:p w14:paraId="020A1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  <w:lang w:eastAsia="zh-CN"/>
        </w:rPr>
      </w:pPr>
    </w:p>
    <w:p w14:paraId="632F0C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  <w:lang w:eastAsia="zh-CN"/>
        </w:rPr>
        <w:t>教育学</w:t>
      </w:r>
    </w:p>
    <w:p w14:paraId="4192EB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91.以习近平文化思想引领高校思政课改革创新研究</w:t>
      </w:r>
    </w:p>
    <w:p w14:paraId="01718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92.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中国教育学自主知识体系与高等教育学科建设研究</w:t>
      </w:r>
    </w:p>
    <w:p w14:paraId="2E70CE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93.新时代大学生思想政治教育的热点难点问题研究</w:t>
      </w:r>
    </w:p>
    <w:p w14:paraId="6BFE42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94.中原文化、红色文化融入高校思想政治教育的路径研究</w:t>
      </w:r>
    </w:p>
    <w:p w14:paraId="0068EE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95.短视频对高校大学生思想政治教育的影响及对策研究</w:t>
      </w:r>
    </w:p>
    <w:p w14:paraId="10E040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96.人工智能重塑教育格局的机遇、挑战与展望</w:t>
      </w:r>
    </w:p>
    <w:p w14:paraId="18E7BE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97.人工智能背景下大学生心理健康教育的创新发展研究</w:t>
      </w:r>
    </w:p>
    <w:p w14:paraId="063CED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98.“教联体”视角下中小学心理健康教育的家校社协同研究</w:t>
      </w:r>
    </w:p>
    <w:p w14:paraId="233DAC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99.新高考改革、评价制度对素质教育的影响研究</w:t>
      </w:r>
    </w:p>
    <w:p w14:paraId="4F7B85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100.河南省人口变动趋势对教育资源配置的影响研究</w:t>
      </w:r>
    </w:p>
    <w:p w14:paraId="515236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101.河南省托幼一体化师资队伍的现状、问题与策略研究</w:t>
      </w:r>
    </w:p>
    <w:p w14:paraId="245AA7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102.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河南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instrText xml:space="preserve"> HYPERLINK "https://kns.cnki.net/kcms2/article/abstract?v=YBmesx2FU7nYpNPElaWenLFtKxMmEGF6KT1nLmzK034YK05jErbPRUgi5vtXEYOJnkPSlF8apTW-fAusvb0oyFSayJxX4p2iJYdJWVJFBKB780jJ2I9R8_vY-N12LbkaZvXnhvSlGQbDoSmwWOqADrtRMpmVUyCCV4MCHtjtmEavi3Yibzr-iTFpp4nNKwCO&amp;uniplatform=NZKPT&amp;language=CHS" \t "/home/huanghe/文档\\x/_blank"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教育科技人才一体化发展的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提升路径研究</w:t>
      </w:r>
    </w:p>
    <w:p w14:paraId="2EC754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103.河南高校专业设置与经济社会需求匹配度调研分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析</w:t>
      </w:r>
    </w:p>
    <w:p w14:paraId="5D37E8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104.新质生产力驱动下应用型高校课程体系重构与优化研究</w:t>
      </w:r>
    </w:p>
    <w:p w14:paraId="40B275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河南省职业教育人才培养模式优化研究</w:t>
      </w:r>
    </w:p>
    <w:p w14:paraId="6ABBBC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河南省终身教育体系构建的现状与发展研究</w:t>
      </w:r>
    </w:p>
    <w:p w14:paraId="14F967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107.企业产教融合校企合作服务需求调研</w:t>
      </w:r>
    </w:p>
    <w:p w14:paraId="22C57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108.河南高校毕业生就业现状调研及对策分析</w:t>
      </w:r>
    </w:p>
    <w:p w14:paraId="65E5C8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109.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乡村振兴背景下乡村教育高质量发展的策略研究</w:t>
      </w:r>
    </w:p>
    <w:p w14:paraId="5EE712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</w:pPr>
    </w:p>
    <w:p w14:paraId="30BAA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fldChar w:fldCharType="begin"/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instrText xml:space="preserve"> HYPERLINK \l "_Toc60086870" </w:instrText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fldChar w:fldCharType="separate"/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t>文学</w:t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fldChar w:fldCharType="end"/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t>·</w:t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fldChar w:fldCharType="begin"/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instrText xml:space="preserve"> HYPERLINK \l "_Toc60086872" </w:instrText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fldChar w:fldCharType="separate"/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  <w:lang w:eastAsia="zh-CN"/>
        </w:rPr>
        <w:t>语言</w:t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t>学</w:t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fldChar w:fldCharType="end"/>
      </w:r>
    </w:p>
    <w:p w14:paraId="6B41F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110.“文明冲突论”与世界文学共同体关系研究</w:t>
      </w:r>
    </w:p>
    <w:p w14:paraId="64B71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111.学科交叉背景下比较文学学科建设挑战及实现路径研究</w:t>
      </w:r>
    </w:p>
    <w:p w14:paraId="67048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112.新时代文学的河南经验与河南形象研究</w:t>
      </w:r>
    </w:p>
    <w:p w14:paraId="099F7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113.新时期以来河南作家的地域书写研究</w:t>
      </w:r>
    </w:p>
    <w:p w14:paraId="5716A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114.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河南文学经典的再发现与新阐释研究</w:t>
      </w:r>
    </w:p>
    <w:p w14:paraId="1ADBC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115.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经典文学作品影视化的路径探析</w:t>
      </w:r>
    </w:p>
    <w:p w14:paraId="5B7BC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116.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人工智能时代语言学的挑战与机遇研究</w:t>
      </w:r>
    </w:p>
    <w:p w14:paraId="6BBF4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117.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中国网络流行语演化的规律与转向研究</w:t>
      </w:r>
    </w:p>
    <w:p w14:paraId="6FCD1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118.中国视听作品中的东方美学研究</w:t>
      </w:r>
    </w:p>
    <w:p w14:paraId="7E9EC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119.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基于观众体验的河南省博物馆教育功能优化研究</w:t>
      </w:r>
    </w:p>
    <w:p w14:paraId="1788C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</w:pPr>
    </w:p>
    <w:p w14:paraId="0F16C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fldChar w:fldCharType="begin"/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instrText xml:space="preserve"> HYPERLINK \l "_Toc60086873" </w:instrText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fldChar w:fldCharType="separate"/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t>新闻传播学</w:t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fldChar w:fldCharType="end"/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t>·</w:t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fldChar w:fldCharType="begin"/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instrText xml:space="preserve"> HYPERLINK \l "_Toc60086874" </w:instrText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fldChar w:fldCharType="separate"/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t>图书馆</w:t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  <w:lang w:eastAsia="zh-CN"/>
        </w:rPr>
        <w:t>学</w:t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fldChar w:fldCharType="end"/>
      </w:r>
    </w:p>
    <w:p w14:paraId="50BFC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120.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中华文明标识体系的建构及跨文化传播研究</w:t>
      </w:r>
    </w:p>
    <w:p w14:paraId="25492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121.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数字视听技术赋能中华优秀传统文化国际传播研究</w:t>
      </w:r>
    </w:p>
    <w:p w14:paraId="21D141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122.中国新型政党制度的国际话语权构建和提升研究</w:t>
      </w:r>
    </w:p>
    <w:p w14:paraId="2EDDC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123.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铸牢中华民族共同体意识的多元融合宣传矩阵研究</w:t>
      </w:r>
    </w:p>
    <w:p w14:paraId="1BF35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124.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新时代中国电影的国家形象建构与国际传播研究</w:t>
      </w:r>
    </w:p>
    <w:p w14:paraId="36EE87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125.网络舆论热点的形成、传播机制和引导策略研究</w:t>
      </w:r>
    </w:p>
    <w:p w14:paraId="79113E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126.全媒体时代公共议题传播治理创新研究</w:t>
      </w:r>
    </w:p>
    <w:p w14:paraId="58351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127.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中原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特色文化的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国际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传播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路径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研究</w:t>
      </w:r>
    </w:p>
    <w:p w14:paraId="28AB5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128.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短视频助力河南文旅融合发展研究</w:t>
      </w:r>
    </w:p>
    <w:p w14:paraId="2AC20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129.多元活化视域下数字民俗文化传播路径研究</w:t>
      </w:r>
    </w:p>
    <w:p w14:paraId="5F3C6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130.数智时代新闻传播人才培养研究</w:t>
      </w:r>
    </w:p>
    <w:p w14:paraId="6924A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131.数智时代中原典籍活化与利用研究</w:t>
      </w:r>
    </w:p>
    <w:p w14:paraId="4F0A7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132.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AIGC参与新闻生产的伦理挑战及应对研究</w:t>
      </w:r>
    </w:p>
    <w:p w14:paraId="760ED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133.图书馆空间再造与拓展研究</w:t>
      </w:r>
    </w:p>
    <w:p w14:paraId="78F8EA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134.图书馆资源共享机制创新与公共服务效能提升研究</w:t>
      </w:r>
    </w:p>
    <w:p w14:paraId="42C6C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135.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DeepSeek在图书馆的应用场景构架研究</w:t>
      </w:r>
    </w:p>
    <w:p w14:paraId="29C8B3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</w:p>
    <w:p w14:paraId="5D4D21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经济学</w:t>
      </w:r>
    </w:p>
    <w:p w14:paraId="663A7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136.“四高四争先”的内在逻辑与实施路径研究</w:t>
      </w:r>
    </w:p>
    <w:p w14:paraId="3D688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137.河南推动高质量发展的重点、难点研究</w:t>
      </w:r>
    </w:p>
    <w:p w14:paraId="362AB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138.河南扩大高水平开放的重点、难点研究</w:t>
      </w:r>
    </w:p>
    <w:p w14:paraId="40308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139.河南创造高品质生活的重点、难点研究</w:t>
      </w:r>
    </w:p>
    <w:p w14:paraId="7E7A5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140.河南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实施高效能治理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的重点、难点研究</w:t>
      </w:r>
    </w:p>
    <w:p w14:paraId="62BF2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141.河南建设全国统一大市场循环枢纽和国内国际市场双循环支点研究</w:t>
      </w:r>
    </w:p>
    <w:p w14:paraId="22FA5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142.双循环驱动下河南建设内陆开放型经济新体制研究</w:t>
      </w:r>
    </w:p>
    <w:p w14:paraId="2E125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143.河南建设高质量的现代化产业体系研究</w:t>
      </w:r>
    </w:p>
    <w:p w14:paraId="1BE73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144.河南以“四链同构”打造先进制造业集群研究</w:t>
      </w:r>
    </w:p>
    <w:p w14:paraId="5C244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145.河南省在中部地区崛起战略中的产业协同发展研究</w:t>
      </w:r>
    </w:p>
    <w:p w14:paraId="49825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146.河南产业链供应链韧性和安全水平的提升机制与路径研究</w:t>
      </w:r>
    </w:p>
    <w:p w14:paraId="53A17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147.河南推进科技创新与产业创新深度融合研究</w:t>
      </w:r>
    </w:p>
    <w:p w14:paraId="3D4DB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148.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  <w:t>河南建设国家创新高地和重要人才中心研究</w:t>
      </w:r>
    </w:p>
    <w:p w14:paraId="718A7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149.中原农谷与国家现代农业科技创新高地建设研究</w:t>
      </w:r>
    </w:p>
    <w:p w14:paraId="365DB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150.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  <w:t>河南省人工智能发展高地建设研究</w:t>
      </w:r>
    </w:p>
    <w:p w14:paraId="043AB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151.河南省算力设施建设模式与路径研究</w:t>
      </w:r>
    </w:p>
    <w:p w14:paraId="42A49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152.河南推动首发经济发展的实践路径研究</w:t>
      </w:r>
    </w:p>
    <w:p w14:paraId="55E63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153.河南推动银发经济发展的实践路径研究</w:t>
      </w:r>
    </w:p>
    <w:p w14:paraId="53711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154.河南推动低空经济发展的实践路径研究</w:t>
      </w:r>
    </w:p>
    <w:p w14:paraId="52AE8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155.河南推动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  <w:t>枢纽偏好型产业集群实践研究</w:t>
      </w:r>
    </w:p>
    <w:p w14:paraId="3EAD3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156.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  <w:t>河南省智慧物流发展水平测度及提升路径研究</w:t>
      </w:r>
    </w:p>
    <w:p w14:paraId="3006D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157.以进一步全面深化改革激发河南创业创新创造活力研究</w:t>
      </w:r>
    </w:p>
    <w:p w14:paraId="4C1EA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158.推动河南民营经济健康发展、高质量发展研究</w:t>
      </w:r>
    </w:p>
    <w:p w14:paraId="0ED0B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159.河南省优化营商环境促进民营经济高质量发展研究</w:t>
      </w:r>
    </w:p>
    <w:p w14:paraId="48C8A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160.河南新产业新业态项目投资包容审慎机制建设研究</w:t>
      </w:r>
    </w:p>
    <w:p w14:paraId="6BD8C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161.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  <w:t>河南促进中小企业专精特新发展研究</w:t>
      </w:r>
    </w:p>
    <w:p w14:paraId="0EA63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162.河南自由贸易试验区高质量发展的机制与对策研究</w:t>
      </w:r>
    </w:p>
    <w:p w14:paraId="0F928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163.河南产业园区管理体制机制改革研究</w:t>
      </w:r>
    </w:p>
    <w:p w14:paraId="28293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164.河南有效扩大内需的着力点及对策研究</w:t>
      </w:r>
    </w:p>
    <w:p w14:paraId="2DA43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165.河南地方政府债务成因及其风险防控问题研究</w:t>
      </w:r>
    </w:p>
    <w:p w14:paraId="106D6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166.河南金融服务实体经济效能提升路径研究</w:t>
      </w:r>
    </w:p>
    <w:p w14:paraId="2B0DD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167.河南生态安全体系构建及人与自然和谐共生路径创新研究</w:t>
      </w:r>
    </w:p>
    <w:p w14:paraId="644DB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168.河南省绿色低碳产业发展研究</w:t>
      </w:r>
    </w:p>
    <w:p w14:paraId="79578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169.河南推动产业生态化与生态产业化发展研究</w:t>
      </w:r>
    </w:p>
    <w:p w14:paraId="09924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170.河南中医药产业高质量发展研究</w:t>
      </w:r>
    </w:p>
    <w:p w14:paraId="1B957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171.河南在城乡融合发展中推进乡村全面振兴的实施路径研究</w:t>
      </w:r>
    </w:p>
    <w:p w14:paraId="6AC11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172.做大做强特色产业推动河南县域经济高质量发展研究</w:t>
      </w:r>
    </w:p>
    <w:p w14:paraId="6D7BA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173.河南学习运用“千万工程”经验促进农文旅融合发展研究</w:t>
      </w:r>
    </w:p>
    <w:p w14:paraId="16518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174.河南省新型农村集体经济发展研究</w:t>
      </w:r>
    </w:p>
    <w:p w14:paraId="6A34C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175.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推动集聚发展集群发展提升河南农业综合效益和竞争力研究</w:t>
      </w:r>
    </w:p>
    <w:p w14:paraId="2FF64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176.河南省优势特色农业全产业链发展路径研究</w:t>
      </w:r>
    </w:p>
    <w:p w14:paraId="356C8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177.人工智能赋能河南省智慧农业发展实践路径研究</w:t>
      </w:r>
    </w:p>
    <w:p w14:paraId="0D27F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178.电商助力乡村振兴的实践探索与路径研究</w:t>
      </w:r>
    </w:p>
    <w:p w14:paraId="78196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179.河南省地理标志农产品开发利用创新路径研究</w:t>
      </w:r>
    </w:p>
    <w:p w14:paraId="22142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180.南水北调后续工程高质量发展研究</w:t>
      </w:r>
    </w:p>
    <w:p w14:paraId="79B4C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181.推进河南内河航运高质量发展研究</w:t>
      </w:r>
    </w:p>
    <w:p w14:paraId="4BCA0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182.建设豫北跨区域协同发展示范区的实施路径研究</w:t>
      </w:r>
    </w:p>
    <w:p w14:paraId="785F0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183.打造鲁豫毗邻地区合作市域样板的路径与对策研究</w:t>
      </w:r>
    </w:p>
    <w:p w14:paraId="58B3B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184.推进“郑许一体化”发展的路径与对策研究</w:t>
      </w:r>
    </w:p>
    <w:p w14:paraId="21F5E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185.加快推动郑州国家中心城市高水平建设研究</w:t>
      </w:r>
    </w:p>
    <w:p w14:paraId="55DA5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186.中原城市群与洛阳副中心城市建设研究</w:t>
      </w:r>
    </w:p>
    <w:p w14:paraId="4BD7D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187.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  <w:t>南阳省域副中心城市建设研究</w:t>
      </w:r>
    </w:p>
    <w:p w14:paraId="52F2F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188.打造商丘对外开放桥头堡、枢纽经济新高地研究</w:t>
      </w:r>
    </w:p>
    <w:p w14:paraId="33CA8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</w:pPr>
    </w:p>
    <w:p w14:paraId="6D126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河南兴文化工程专项研究</w:t>
      </w:r>
    </w:p>
    <w:p w14:paraId="25FB3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189.五千多年中华文明史的演进、分期及特质研究</w:t>
      </w:r>
    </w:p>
    <w:p w14:paraId="00EEF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190.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夏商周族群融合演进及华夏民族形成研究</w:t>
      </w:r>
    </w:p>
    <w:p w14:paraId="6FF04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191.贾湖文化和文明探源研究</w:t>
      </w:r>
    </w:p>
    <w:p w14:paraId="7D6CA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192.伏羲文化与伏羲学研究</w:t>
      </w:r>
    </w:p>
    <w:p w14:paraId="3EDC7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193.炎黄文化与炎黄学研究</w:t>
      </w:r>
    </w:p>
    <w:p w14:paraId="16EAA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194.河洛文化与河洛学研究</w:t>
      </w:r>
    </w:p>
    <w:p w14:paraId="4C077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195.殷商文化与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殷商学研究</w:t>
      </w:r>
    </w:p>
    <w:p w14:paraId="69FE0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196.牧野文化的起源、发展及变迁研究</w:t>
      </w:r>
    </w:p>
    <w:p w14:paraId="09215E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197.打造殷墟甲骨文中华文化新地标研究</w:t>
      </w:r>
    </w:p>
    <w:p w14:paraId="5F8D4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198.建设仰韶文化新高地研究</w:t>
      </w:r>
    </w:p>
    <w:p w14:paraId="3018B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199.河南《诗经》文化资源系统挖掘与开发利用研究</w:t>
      </w:r>
    </w:p>
    <w:p w14:paraId="58ED8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200.冯友兰新理学研究</w:t>
      </w:r>
    </w:p>
    <w:p w14:paraId="4F55D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201.新时代黄河学研究</w:t>
      </w:r>
    </w:p>
    <w:p w14:paraId="0223F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202.黄河文化“根”与“魂”的河南体现研究</w:t>
      </w:r>
    </w:p>
    <w:p w14:paraId="68122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203.大运河文化核心遗产梳理、保护及开发对策研究</w:t>
      </w:r>
    </w:p>
    <w:p w14:paraId="4E47C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204.中原学的理论基础、基本范畴与学科体系研究（可分专题分领域，如中原经济学、中原伦理学等）</w:t>
      </w:r>
    </w:p>
    <w:p w14:paraId="2D8CC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205.中原学与世界中国学、世界古典学研究</w:t>
      </w:r>
    </w:p>
    <w:p w14:paraId="29BBA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206.中原红色文化、红色精神（焦裕禄精神、红旗渠精神、大别山精神等）的传承弘扬研究</w:t>
      </w:r>
    </w:p>
    <w:p w14:paraId="4919F5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207.提升“行走河南·读懂中国”品牌影响力研究</w:t>
      </w:r>
    </w:p>
    <w:p w14:paraId="67CFA4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208.河南省实施重大文化产业项目的路径研究</w:t>
      </w:r>
    </w:p>
    <w:p w14:paraId="56C64C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209.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河南文旅产业赋能城市更新研究</w:t>
      </w:r>
    </w:p>
    <w:p w14:paraId="06227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华文仿宋" w:hAnsi="华文仿宋" w:eastAsia="华文仿宋" w:cs="华文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210.河南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highlight w:val="none"/>
          <w:lang w:val="en-US" w:eastAsia="zh-CN"/>
        </w:rPr>
        <w:t>省重点文化旅游产业链群研究</w:t>
      </w:r>
    </w:p>
    <w:p w14:paraId="79734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211.数智化背景下河南文旅深度融合发展体制机制研究</w:t>
      </w:r>
    </w:p>
    <w:p w14:paraId="4253B6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212.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河南创新文旅新业态、构建多元消费场景研究</w:t>
      </w:r>
    </w:p>
    <w:p w14:paraId="793A25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213.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“双减”政策背景下研学旅行的教育价值研究</w:t>
      </w:r>
    </w:p>
    <w:p w14:paraId="37C2E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214.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河南省入境旅游发展现状、瓶颈制约与政策支持研究</w:t>
      </w:r>
    </w:p>
    <w:p w14:paraId="309469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215.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河洛文化生态保护区建设研究</w:t>
      </w:r>
    </w:p>
    <w:p w14:paraId="60370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216.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河南省博物馆文创产品开发的文化融合与市场拓展研究</w:t>
      </w:r>
    </w:p>
    <w:p w14:paraId="67BB53C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 w14:paraId="40499F52"/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12957B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677F7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677F7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3E11A24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NPPqH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E11A24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2CEF72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A4A5E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A4A5E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F386A8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F386A8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026ECA"/>
    <w:rsid w:val="65F9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customStyle="1" w:styleId="3">
    <w:name w:val="正文文本 21"/>
    <w:basedOn w:val="1"/>
    <w:qFormat/>
    <w:uiPriority w:val="0"/>
    <w:pPr>
      <w:spacing w:line="480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5171</Words>
  <Characters>5837</Characters>
  <Lines>0</Lines>
  <Paragraphs>0</Paragraphs>
  <TotalTime>0</TotalTime>
  <ScaleCrop>false</ScaleCrop>
  <LinksUpToDate>false</LinksUpToDate>
  <CharactersWithSpaces>5854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2025-03-21T03:16:00Z</dcterms:created>
  <dc:creator>Administrator</dc:creator>
  <cp:lastModifiedBy>李阳</cp:lastModifiedBy>
  <dcterms:modified xsi:type="dcterms:W3CDTF">2025-03-24T01:14:04Z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eyJoZGlkIjoiYTkwYmYzNDU2NDMwZDA5YjhmNTQyM2Q5Y2FjMjU4ZjEiLCJ1c2VySWQiOiIyOTAxNDMyNDYifQ==</vt:lpwstr>
  </property>
  <property fmtid="{D5CDD505-2E9C-101B-9397-08002B2CF9AE}" pid="4" name="ICV">
    <vt:lpwstr>BB73E6F9F1C44B678B174298950B132C_13</vt:lpwstr>
  </property>
</Properties>
</file>