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4AC80">
      <w:pPr>
        <w:rPr>
          <w:rFonts w:ascii="宋体" w:hAnsi="宋体"/>
          <w:b/>
          <w:sz w:val="28"/>
          <w:szCs w:val="28"/>
        </w:rPr>
      </w:pPr>
      <w:bookmarkStart w:id="70" w:name="_GoBack"/>
      <w:bookmarkEnd w:id="70"/>
    </w:p>
    <w:p w14:paraId="4F9DE0D2">
      <w:pPr>
        <w:rPr>
          <w:rFonts w:ascii="宋体" w:hAnsi="宋体"/>
          <w:b/>
          <w:sz w:val="28"/>
          <w:szCs w:val="28"/>
        </w:rPr>
      </w:pPr>
    </w:p>
    <w:p w14:paraId="36486A01">
      <w:pPr>
        <w:jc w:val="center"/>
        <w:rPr>
          <w:rFonts w:ascii="宋体" w:hAnsi="宋体"/>
          <w:b/>
          <w:sz w:val="48"/>
          <w:szCs w:val="48"/>
        </w:rPr>
      </w:pPr>
      <w:r>
        <w:rPr>
          <w:rFonts w:hint="eastAsia" w:ascii="宋体" w:hAnsi="宋体"/>
          <w:b/>
          <w:sz w:val="48"/>
          <w:szCs w:val="48"/>
        </w:rPr>
        <w:t>许昌陶瓷职业学院</w:t>
      </w:r>
    </w:p>
    <w:p w14:paraId="14A4E294">
      <w:pPr>
        <w:jc w:val="center"/>
        <w:rPr>
          <w:rFonts w:ascii="宋体" w:hAnsi="宋体"/>
          <w:b/>
          <w:sz w:val="48"/>
          <w:szCs w:val="48"/>
        </w:rPr>
      </w:pPr>
    </w:p>
    <w:p w14:paraId="09183632">
      <w:pPr>
        <w:jc w:val="center"/>
        <w:rPr>
          <w:rFonts w:ascii="宋体" w:hAnsi="宋体"/>
          <w:b/>
          <w:color w:val="FF0000"/>
          <w:sz w:val="24"/>
        </w:rPr>
      </w:pPr>
      <w:r>
        <w:rPr>
          <w:rFonts w:hint="eastAsia" w:ascii="宋体" w:hAnsi="宋体"/>
          <w:b/>
          <w:sz w:val="48"/>
          <w:szCs w:val="48"/>
        </w:rPr>
        <w:t>学前教育专业人才培养方案</w:t>
      </w:r>
    </w:p>
    <w:p w14:paraId="38C2BE27">
      <w:pPr>
        <w:jc w:val="center"/>
        <w:rPr>
          <w:rFonts w:ascii="宋体" w:hAnsi="宋体"/>
          <w:b/>
          <w:color w:val="FF0000"/>
          <w:sz w:val="24"/>
        </w:rPr>
      </w:pPr>
    </w:p>
    <w:p w14:paraId="6878EF4B">
      <w:pPr>
        <w:jc w:val="center"/>
        <w:rPr>
          <w:rFonts w:ascii="宋体" w:hAnsi="宋体"/>
          <w:b/>
          <w:sz w:val="44"/>
          <w:szCs w:val="44"/>
        </w:rPr>
      </w:pPr>
    </w:p>
    <w:p w14:paraId="473FC8BA">
      <w:pPr>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教 学 院 部：</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智慧康养与人文教育学院 </w:t>
      </w:r>
      <w:r>
        <w:rPr>
          <w:rFonts w:hint="eastAsia" w:ascii="微软雅黑" w:hAnsi="微软雅黑" w:eastAsia="微软雅黑" w:cs="微软雅黑"/>
          <w:sz w:val="32"/>
          <w:szCs w:val="32"/>
          <w:u w:val="single"/>
          <w:lang w:val="en-US" w:eastAsia="zh-CN"/>
        </w:rPr>
        <w:t xml:space="preserve">    </w:t>
      </w:r>
    </w:p>
    <w:p w14:paraId="10E67834">
      <w:pPr>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rPr>
        <w:t>执  笔  人：</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轩萌萌          </w:t>
      </w:r>
      <w:r>
        <w:rPr>
          <w:rFonts w:hint="eastAsia" w:ascii="微软雅黑" w:hAnsi="微软雅黑" w:eastAsia="微软雅黑" w:cs="微软雅黑"/>
          <w:sz w:val="32"/>
          <w:szCs w:val="32"/>
          <w:u w:val="single"/>
          <w:lang w:val="en-US" w:eastAsia="zh-CN"/>
        </w:rPr>
        <w:t xml:space="preserve">   </w:t>
      </w:r>
    </w:p>
    <w:p w14:paraId="112FD1C1">
      <w:pPr>
        <w:adjustRightInd w:val="0"/>
        <w:snapToGrid w:val="0"/>
        <w:spacing w:before="312" w:beforeLines="100" w:after="156" w:afterLines="50"/>
        <w:ind w:firstLine="1280" w:firstLineChars="400"/>
        <w:outlineLvl w:val="0"/>
        <w:rPr>
          <w:rFonts w:hint="eastAsia"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编 制 团 队：</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刘杰 靳艺丹 黄向丽 丁嘉宁 张梦雨</w:t>
      </w:r>
    </w:p>
    <w:p w14:paraId="0BF99CDF">
      <w:pPr>
        <w:adjustRightInd w:val="0"/>
        <w:snapToGrid w:val="0"/>
        <w:spacing w:before="312" w:beforeLines="100" w:after="156" w:afterLines="50"/>
        <w:ind w:firstLine="3200" w:firstLineChars="1000"/>
        <w:outlineLvl w:val="0"/>
        <w:rPr>
          <w:rFonts w:hint="default" w:ascii="微软雅黑" w:hAnsi="微软雅黑" w:eastAsia="微软雅黑" w:cs="微软雅黑"/>
          <w:sz w:val="32"/>
          <w:szCs w:val="32"/>
          <w:u w:val="single"/>
          <w:lang w:val="en-US"/>
        </w:rPr>
      </w:pPr>
      <w:r>
        <w:rPr>
          <w:rFonts w:hint="eastAsia" w:ascii="微软雅黑" w:hAnsi="微软雅黑" w:eastAsia="微软雅黑" w:cs="微软雅黑"/>
          <w:sz w:val="32"/>
          <w:szCs w:val="32"/>
          <w:u w:val="single"/>
          <w:lang w:val="en-US" w:eastAsia="zh-CN"/>
        </w:rPr>
        <w:t xml:space="preserve"> 张程皓</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曾煦原                    </w:t>
      </w:r>
    </w:p>
    <w:p w14:paraId="19758C1E">
      <w:pPr>
        <w:adjustRightInd w:val="0"/>
        <w:snapToGrid w:val="0"/>
        <w:spacing w:before="312" w:beforeLines="100" w:after="156" w:afterLines="50"/>
        <w:ind w:left="3517" w:leftChars="608" w:hanging="2240" w:hangingChars="700"/>
        <w:outlineLvl w:val="0"/>
        <w:rPr>
          <w:rFonts w:hint="default"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参与行业企业：</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许昌市</w:t>
      </w:r>
      <w:r>
        <w:rPr>
          <w:rFonts w:hint="eastAsia" w:ascii="微软雅黑" w:hAnsi="微软雅黑" w:eastAsia="微软雅黑" w:cs="微软雅黑"/>
          <w:sz w:val="32"/>
          <w:szCs w:val="32"/>
          <w:u w:val="single"/>
          <w:lang w:val="en-US" w:eastAsia="zh-CN"/>
        </w:rPr>
        <w:t>人民</w:t>
      </w:r>
      <w:r>
        <w:rPr>
          <w:rFonts w:hint="eastAsia" w:ascii="微软雅黑" w:hAnsi="微软雅黑" w:eastAsia="微软雅黑" w:cs="微软雅黑"/>
          <w:sz w:val="32"/>
          <w:szCs w:val="32"/>
          <w:u w:val="single"/>
        </w:rPr>
        <w:t>政府机关幼儿园</w:t>
      </w:r>
      <w:r>
        <w:rPr>
          <w:rFonts w:hint="eastAsia" w:ascii="微软雅黑" w:hAnsi="微软雅黑" w:eastAsia="微软雅黑" w:cs="微软雅黑"/>
          <w:sz w:val="32"/>
          <w:szCs w:val="32"/>
          <w:u w:val="single"/>
          <w:lang w:val="en-US" w:eastAsia="zh-CN"/>
        </w:rPr>
        <w:t xml:space="preserve">    </w:t>
      </w:r>
    </w:p>
    <w:p w14:paraId="162E070A">
      <w:pPr>
        <w:adjustRightInd w:val="0"/>
        <w:snapToGrid w:val="0"/>
        <w:spacing w:before="312" w:beforeLines="100" w:after="156" w:afterLines="50"/>
        <w:ind w:left="3511" w:leftChars="1672" w:firstLine="0" w:firstLineChars="0"/>
        <w:outlineLvl w:val="0"/>
        <w:rPr>
          <w:rFonts w:hint="default"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许昌市文化街幼儿园</w:t>
      </w:r>
      <w:r>
        <w:rPr>
          <w:rFonts w:hint="eastAsia" w:ascii="微软雅黑" w:hAnsi="微软雅黑" w:eastAsia="微软雅黑" w:cs="微软雅黑"/>
          <w:sz w:val="32"/>
          <w:szCs w:val="32"/>
          <w:u w:val="single"/>
          <w:lang w:val="en-US" w:eastAsia="zh-CN"/>
        </w:rPr>
        <w:t xml:space="preserve">       </w:t>
      </w:r>
    </w:p>
    <w:p w14:paraId="68E305FA">
      <w:pPr>
        <w:adjustRightInd w:val="0"/>
        <w:snapToGrid w:val="0"/>
        <w:spacing w:before="312" w:beforeLines="100" w:after="156" w:afterLines="50"/>
        <w:ind w:left="3511" w:leftChars="1672" w:firstLine="0" w:firstLineChars="0"/>
        <w:outlineLvl w:val="0"/>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许昌市</w:t>
      </w:r>
      <w:r>
        <w:rPr>
          <w:rFonts w:hint="eastAsia" w:ascii="微软雅黑" w:hAnsi="微软雅黑" w:eastAsia="微软雅黑" w:cs="微软雅黑"/>
          <w:sz w:val="32"/>
          <w:szCs w:val="32"/>
          <w:u w:val="single"/>
          <w:lang w:val="en-US" w:eastAsia="zh-CN"/>
        </w:rPr>
        <w:t>魏都区爱汀堡</w:t>
      </w:r>
      <w:r>
        <w:rPr>
          <w:rFonts w:hint="eastAsia" w:ascii="微软雅黑" w:hAnsi="微软雅黑" w:eastAsia="微软雅黑" w:cs="微软雅黑"/>
          <w:sz w:val="32"/>
          <w:szCs w:val="32"/>
          <w:u w:val="single"/>
        </w:rPr>
        <w:t>幼儿园</w:t>
      </w:r>
      <w:r>
        <w:rPr>
          <w:rFonts w:hint="eastAsia" w:ascii="微软雅黑" w:hAnsi="微软雅黑" w:eastAsia="微软雅黑" w:cs="微软雅黑"/>
          <w:sz w:val="32"/>
          <w:szCs w:val="32"/>
          <w:u w:val="single"/>
          <w:lang w:val="en-US" w:eastAsia="zh-CN"/>
        </w:rPr>
        <w:t xml:space="preserve">    </w:t>
      </w:r>
    </w:p>
    <w:p w14:paraId="51276A77">
      <w:pPr>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rPr>
        <w:t>行业企业人员：</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刘娜</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朱文娟</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刘洋洋</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p>
    <w:p w14:paraId="216E9EBF">
      <w:pPr>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rPr>
        <w:t>编 制 日 期：</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2025年6月       </w:t>
      </w:r>
      <w:r>
        <w:rPr>
          <w:rFonts w:hint="eastAsia" w:ascii="微软雅黑" w:hAnsi="微软雅黑" w:eastAsia="微软雅黑" w:cs="微软雅黑"/>
          <w:sz w:val="32"/>
          <w:szCs w:val="32"/>
          <w:u w:val="single"/>
          <w:lang w:val="en-US" w:eastAsia="zh-CN"/>
        </w:rPr>
        <w:t xml:space="preserve">    </w:t>
      </w:r>
    </w:p>
    <w:p w14:paraId="1A28D1E1">
      <w:pPr>
        <w:spacing w:before="312" w:beforeLines="100" w:after="156" w:afterLines="50" w:line="360" w:lineRule="auto"/>
        <w:rPr>
          <w:sz w:val="32"/>
          <w:szCs w:val="32"/>
        </w:rPr>
      </w:pPr>
    </w:p>
    <w:p w14:paraId="75C9A1A6">
      <w:pPr>
        <w:adjustRightInd w:val="0"/>
        <w:snapToGrid w:val="0"/>
        <w:spacing w:before="156" w:beforeLines="50" w:line="360" w:lineRule="auto"/>
        <w:jc w:val="center"/>
        <w:outlineLvl w:val="0"/>
        <w:rPr>
          <w:b/>
          <w:bCs/>
          <w:sz w:val="32"/>
          <w:szCs w:val="32"/>
        </w:rPr>
      </w:pPr>
      <w:bookmarkStart w:id="0" w:name="_Toc4414"/>
      <w:bookmarkStart w:id="1" w:name="_Toc12733"/>
      <w:bookmarkStart w:id="2" w:name="_Toc30766"/>
      <w:r>
        <w:rPr>
          <w:rFonts w:hint="eastAsia"/>
          <w:b/>
          <w:bCs/>
          <w:sz w:val="32"/>
          <w:szCs w:val="32"/>
        </w:rPr>
        <w:t>教务处编</w:t>
      </w:r>
      <w:bookmarkEnd w:id="0"/>
      <w:bookmarkEnd w:id="1"/>
      <w:bookmarkEnd w:id="2"/>
    </w:p>
    <w:p w14:paraId="346573DE">
      <w:pPr>
        <w:spacing w:before="312" w:beforeLines="100" w:after="156" w:afterLines="50" w:line="360" w:lineRule="auto"/>
        <w:jc w:val="center"/>
        <w:outlineLvl w:val="0"/>
        <w:rPr>
          <w:b/>
          <w:bCs/>
          <w:sz w:val="32"/>
          <w:szCs w:val="32"/>
        </w:rPr>
      </w:pPr>
      <w:bookmarkStart w:id="3" w:name="_Toc5144"/>
      <w:bookmarkStart w:id="4" w:name="_Toc10876"/>
      <w:r>
        <w:rPr>
          <w:rFonts w:hint="eastAsia"/>
          <w:b/>
          <w:bCs/>
          <w:sz w:val="32"/>
          <w:szCs w:val="32"/>
        </w:rPr>
        <w:t>二〇二五年六月</w:t>
      </w:r>
      <w:bookmarkEnd w:id="3"/>
      <w:bookmarkEnd w:id="4"/>
    </w:p>
    <w:p w14:paraId="2A691B27">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7C1B6D23">
      <w:pPr>
        <w:jc w:val="center"/>
        <w:rPr>
          <w:rFonts w:ascii="宋体" w:hAnsi="宋体" w:cs="宋体"/>
          <w:b/>
          <w:sz w:val="44"/>
          <w:szCs w:val="44"/>
        </w:rPr>
      </w:pPr>
      <w:r>
        <w:rPr>
          <w:rFonts w:hint="eastAsia" w:ascii="宋体" w:hAnsi="宋体" w:cs="宋体"/>
          <w:b/>
          <w:sz w:val="44"/>
          <w:szCs w:val="44"/>
        </w:rPr>
        <w:t>许昌陶瓷职业学院</w:t>
      </w:r>
    </w:p>
    <w:p w14:paraId="6B5D6097">
      <w:pPr>
        <w:jc w:val="center"/>
        <w:rPr>
          <w:rFonts w:ascii="宋体" w:hAnsi="宋体" w:cs="宋体"/>
          <w:b/>
          <w:sz w:val="44"/>
          <w:szCs w:val="44"/>
        </w:rPr>
      </w:pPr>
      <w:r>
        <w:rPr>
          <w:rFonts w:hint="eastAsia" w:ascii="宋体" w:hAnsi="宋体" w:cs="宋体"/>
          <w:b/>
          <w:sz w:val="44"/>
          <w:szCs w:val="44"/>
        </w:rPr>
        <w:t>2025级学前教育专业人才培养方案</w:t>
      </w:r>
    </w:p>
    <w:p w14:paraId="25BFE69A">
      <w:pPr>
        <w:pStyle w:val="3"/>
        <w:pageBreakBefore w:val="0"/>
        <w:kinsoku/>
        <w:wordWrap/>
        <w:overflowPunct/>
        <w:topLinePunct w:val="0"/>
        <w:bidi w:val="0"/>
        <w:spacing w:before="0" w:beforeLines="0" w:after="0" w:afterLines="0" w:line="360" w:lineRule="exact"/>
        <w:ind w:firstLine="482"/>
        <w:rPr>
          <w:rFonts w:ascii="Times New Roman" w:hAnsi="Times New Roman"/>
          <w:kern w:val="2"/>
          <w:sz w:val="24"/>
          <w:szCs w:val="24"/>
        </w:rPr>
      </w:pPr>
      <w:bookmarkStart w:id="5" w:name="_Toc31560"/>
      <w:bookmarkStart w:id="6" w:name="_Toc20535"/>
      <w:bookmarkStart w:id="7" w:name="_Toc26091"/>
      <w:bookmarkStart w:id="8" w:name="_Toc364078377"/>
    </w:p>
    <w:p w14:paraId="35691BD9">
      <w:pPr>
        <w:pStyle w:val="3"/>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一、专业名称及专业代码</w:t>
      </w:r>
      <w:bookmarkEnd w:id="5"/>
      <w:bookmarkEnd w:id="6"/>
      <w:bookmarkEnd w:id="7"/>
    </w:p>
    <w:p w14:paraId="4E664CA6">
      <w:pPr>
        <w:pageBreakBefore w:val="0"/>
        <w:kinsoku/>
        <w:wordWrap/>
        <w:overflowPunct/>
        <w:topLinePunct w:val="0"/>
        <w:bidi w:val="0"/>
        <w:spacing w:line="360" w:lineRule="exact"/>
        <w:ind w:firstLine="420" w:firstLineChars="200"/>
        <w:rPr>
          <w:rFonts w:ascii="宋体" w:hAnsi="宋体" w:cs="宋体"/>
        </w:rPr>
      </w:pPr>
      <w:bookmarkStart w:id="9" w:name="_Toc15758"/>
      <w:bookmarkStart w:id="10" w:name="_Toc18827"/>
      <w:bookmarkStart w:id="11" w:name="_Toc2265"/>
      <w:r>
        <w:rPr>
          <w:rFonts w:hint="eastAsia" w:ascii="宋体" w:hAnsi="宋体" w:cs="宋体"/>
        </w:rPr>
        <w:t>专业名称：</w:t>
      </w:r>
      <w:r>
        <w:rPr>
          <w:rFonts w:hint="eastAsia" w:ascii="宋体" w:hAnsi="宋体" w:cs="宋体"/>
          <w:bCs/>
        </w:rPr>
        <w:t>学前教育</w:t>
      </w:r>
    </w:p>
    <w:p w14:paraId="4D172C02">
      <w:pPr>
        <w:pageBreakBefore w:val="0"/>
        <w:widowControl/>
        <w:kinsoku/>
        <w:wordWrap/>
        <w:overflowPunct/>
        <w:topLinePunct w:val="0"/>
        <w:bidi w:val="0"/>
        <w:spacing w:line="360" w:lineRule="exact"/>
        <w:ind w:firstLine="420" w:firstLineChars="200"/>
        <w:jc w:val="left"/>
        <w:rPr>
          <w:rFonts w:ascii="宋体" w:hAnsi="宋体" w:cs="宋体"/>
          <w:color w:val="0000FF"/>
        </w:rPr>
      </w:pPr>
      <w:r>
        <w:rPr>
          <w:rFonts w:hint="eastAsia" w:ascii="宋体" w:hAnsi="宋体" w:cs="宋体"/>
        </w:rPr>
        <w:t>专业代码：</w:t>
      </w:r>
      <w:r>
        <w:rPr>
          <w:rFonts w:hint="eastAsia" w:asciiTheme="minorEastAsia" w:hAnsiTheme="minorEastAsia" w:eastAsiaTheme="minorEastAsia" w:cstheme="minorEastAsia"/>
          <w:bCs/>
        </w:rPr>
        <w:t>570102K</w:t>
      </w:r>
    </w:p>
    <w:p w14:paraId="3CE02665">
      <w:pPr>
        <w:pStyle w:val="3"/>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5E52E08E">
      <w:pPr>
        <w:pageBreakBefore w:val="0"/>
        <w:widowControl/>
        <w:kinsoku/>
        <w:wordWrap/>
        <w:overflowPunct/>
        <w:topLinePunct w:val="0"/>
        <w:bidi w:val="0"/>
        <w:spacing w:line="360" w:lineRule="exact"/>
        <w:ind w:firstLine="420" w:firstLineChars="200"/>
        <w:jc w:val="left"/>
        <w:rPr>
          <w:rFonts w:ascii="宋体" w:hAnsi="宋体" w:cs="宋体"/>
          <w:szCs w:val="21"/>
        </w:rPr>
      </w:pPr>
      <w:r>
        <w:rPr>
          <w:rFonts w:hint="eastAsia" w:ascii="宋体" w:hAnsi="宋体" w:cs="宋体"/>
          <w:szCs w:val="21"/>
        </w:rPr>
        <w:t>中等职业学校毕业、普通高级中学毕业或具备同等学力</w:t>
      </w:r>
    </w:p>
    <w:p w14:paraId="657A8A1C">
      <w:pPr>
        <w:pStyle w:val="3"/>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bookmarkStart w:id="12" w:name="_Toc20700"/>
      <w:bookmarkStart w:id="13" w:name="_Toc21516"/>
      <w:bookmarkStart w:id="14" w:name="_Toc17378"/>
      <w:r>
        <w:rPr>
          <w:rFonts w:ascii="Times New Roman" w:hAnsi="Times New Roman"/>
          <w:kern w:val="2"/>
          <w:sz w:val="24"/>
          <w:szCs w:val="24"/>
        </w:rPr>
        <w:t>三、修业年限</w:t>
      </w:r>
      <w:bookmarkEnd w:id="12"/>
      <w:bookmarkEnd w:id="13"/>
      <w:bookmarkEnd w:id="14"/>
    </w:p>
    <w:p w14:paraId="4F184540">
      <w:pPr>
        <w:pageBreakBefore w:val="0"/>
        <w:widowControl/>
        <w:kinsoku/>
        <w:wordWrap/>
        <w:overflowPunct/>
        <w:topLinePunct w:val="0"/>
        <w:bidi w:val="0"/>
        <w:spacing w:line="360" w:lineRule="exact"/>
        <w:ind w:firstLine="420" w:firstLineChars="200"/>
        <w:jc w:val="left"/>
        <w:rPr>
          <w:rFonts w:ascii="Arial" w:hAnsi="Arial"/>
          <w:bCs/>
          <w:color w:val="000000"/>
          <w:szCs w:val="21"/>
        </w:rPr>
      </w:pPr>
      <w:r>
        <w:rPr>
          <w:rFonts w:hint="eastAsia" w:ascii="Arial" w:hAnsi="Arial"/>
          <w:bCs/>
          <w:color w:val="000000"/>
          <w:szCs w:val="21"/>
        </w:rPr>
        <w:t>三年</w:t>
      </w:r>
    </w:p>
    <w:p w14:paraId="44AC25FF">
      <w:pPr>
        <w:pStyle w:val="3"/>
        <w:pageBreakBefore w:val="0"/>
        <w:kinsoku/>
        <w:wordWrap/>
        <w:overflowPunct/>
        <w:topLinePunct w:val="0"/>
        <w:bidi w:val="0"/>
        <w:spacing w:before="0" w:beforeLines="0" w:after="0" w:afterLines="0" w:line="360" w:lineRule="exact"/>
        <w:ind w:firstLine="482"/>
        <w:rPr>
          <w:rFonts w:hint="default" w:cs="宋体"/>
          <w:color w:val="000000"/>
        </w:rPr>
      </w:pPr>
      <w:bookmarkStart w:id="15" w:name="_Toc9441"/>
      <w:bookmarkStart w:id="16" w:name="_Toc623"/>
      <w:bookmarkStart w:id="17" w:name="_Toc3032"/>
      <w:r>
        <w:rPr>
          <w:rFonts w:ascii="Times New Roman" w:hAnsi="Times New Roman"/>
          <w:kern w:val="2"/>
          <w:sz w:val="24"/>
          <w:szCs w:val="24"/>
        </w:rPr>
        <w:t>四、职业面向</w:t>
      </w:r>
      <w:bookmarkEnd w:id="15"/>
      <w:bookmarkEnd w:id="16"/>
      <w:bookmarkEnd w:id="17"/>
    </w:p>
    <w:tbl>
      <w:tblPr>
        <w:tblStyle w:val="15"/>
        <w:tblW w:w="479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98"/>
        <w:gridCol w:w="6000"/>
      </w:tblGrid>
      <w:tr w14:paraId="3546B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628" w:type="pct"/>
            <w:tcBorders>
              <w:top w:val="single" w:color="auto" w:sz="4" w:space="0"/>
              <w:left w:val="single" w:color="auto" w:sz="4" w:space="0"/>
              <w:bottom w:val="single" w:color="auto" w:sz="4" w:space="0"/>
              <w:right w:val="single" w:color="auto" w:sz="4" w:space="0"/>
            </w:tcBorders>
            <w:vAlign w:val="center"/>
          </w:tcPr>
          <w:p w14:paraId="3599A5B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所属专业大类（代码）</w:t>
            </w:r>
          </w:p>
        </w:tc>
        <w:tc>
          <w:tcPr>
            <w:tcW w:w="3371" w:type="pct"/>
            <w:tcBorders>
              <w:top w:val="single" w:color="auto" w:sz="4" w:space="0"/>
              <w:left w:val="single" w:color="auto" w:sz="4" w:space="0"/>
              <w:bottom w:val="single" w:color="auto" w:sz="4" w:space="0"/>
              <w:right w:val="single" w:color="auto" w:sz="4" w:space="0"/>
            </w:tcBorders>
            <w:vAlign w:val="center"/>
          </w:tcPr>
          <w:p w14:paraId="0DBB973F">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教育与体育大类（57）</w:t>
            </w:r>
          </w:p>
        </w:tc>
      </w:tr>
      <w:tr w14:paraId="03A67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628" w:type="pct"/>
            <w:tcBorders>
              <w:top w:val="single" w:color="auto" w:sz="4" w:space="0"/>
              <w:left w:val="single" w:color="auto" w:sz="4" w:space="0"/>
              <w:bottom w:val="single" w:color="auto" w:sz="4" w:space="0"/>
              <w:right w:val="single" w:color="auto" w:sz="4" w:space="0"/>
            </w:tcBorders>
            <w:vAlign w:val="center"/>
          </w:tcPr>
          <w:p w14:paraId="031BC38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所属专业类（代码）</w:t>
            </w:r>
          </w:p>
        </w:tc>
        <w:tc>
          <w:tcPr>
            <w:tcW w:w="3371" w:type="pct"/>
            <w:tcBorders>
              <w:top w:val="single" w:color="auto" w:sz="4" w:space="0"/>
              <w:left w:val="single" w:color="auto" w:sz="4" w:space="0"/>
              <w:bottom w:val="single" w:color="auto" w:sz="4" w:space="0"/>
              <w:right w:val="single" w:color="auto" w:sz="4" w:space="0"/>
            </w:tcBorders>
            <w:vAlign w:val="center"/>
          </w:tcPr>
          <w:p w14:paraId="7F92E5DE">
            <w:pPr>
              <w:pStyle w:val="6"/>
              <w:keepNext w:val="0"/>
              <w:keepLines w:val="0"/>
              <w:pageBreakBefore w:val="0"/>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教育类（5701）</w:t>
            </w:r>
          </w:p>
        </w:tc>
      </w:tr>
      <w:tr w14:paraId="60DA3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28" w:type="pct"/>
            <w:tcBorders>
              <w:top w:val="single" w:color="auto" w:sz="4" w:space="0"/>
              <w:left w:val="single" w:color="auto" w:sz="4" w:space="0"/>
              <w:bottom w:val="single" w:color="auto" w:sz="4" w:space="0"/>
              <w:right w:val="single" w:color="auto" w:sz="4" w:space="0"/>
            </w:tcBorders>
            <w:vAlign w:val="center"/>
          </w:tcPr>
          <w:p w14:paraId="5DF0FDD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对应行业（代码）</w:t>
            </w:r>
          </w:p>
        </w:tc>
        <w:tc>
          <w:tcPr>
            <w:tcW w:w="3371" w:type="pct"/>
            <w:tcBorders>
              <w:top w:val="single" w:color="auto" w:sz="4" w:space="0"/>
              <w:left w:val="single" w:color="auto" w:sz="4" w:space="0"/>
              <w:bottom w:val="single" w:color="auto" w:sz="4" w:space="0"/>
              <w:right w:val="single" w:color="auto" w:sz="4" w:space="0"/>
            </w:tcBorders>
            <w:vAlign w:val="center"/>
          </w:tcPr>
          <w:p w14:paraId="331F722A">
            <w:pPr>
              <w:pStyle w:val="6"/>
              <w:keepNext w:val="0"/>
              <w:keepLines w:val="0"/>
              <w:pageBreakBefore w:val="0"/>
              <w:kinsoku/>
              <w:wordWrap/>
              <w:overflowPunct/>
              <w:topLinePunct w:val="0"/>
              <w:bidi w:val="0"/>
              <w:spacing w:line="360" w:lineRule="exact"/>
              <w:jc w:val="left"/>
              <w:outlineLvl w:val="3"/>
              <w:rPr>
                <w:rFonts w:hint="default" w:ascii="宋体" w:hAnsi="宋体" w:eastAsia="宋体" w:cs="宋体"/>
                <w:b w:val="0"/>
                <w:bCs/>
                <w:color w:val="4874CB" w:themeColor="accent1"/>
                <w:sz w:val="18"/>
                <w:szCs w:val="18"/>
                <w:lang w:val="en-US" w:eastAsia="zh-CN"/>
                <w14:textFill>
                  <w14:solidFill>
                    <w14:schemeClr w14:val="accent1"/>
                  </w14:solidFill>
                </w14:textFill>
              </w:rPr>
            </w:pPr>
            <w:r>
              <w:rPr>
                <w:rFonts w:hint="eastAsia" w:ascii="宋体" w:hAnsi="宋体" w:cs="宋体"/>
                <w:b w:val="0"/>
                <w:bCs/>
                <w:color w:val="auto"/>
                <w:sz w:val="18"/>
                <w:szCs w:val="18"/>
              </w:rPr>
              <w:t>学前教育（8310）</w:t>
            </w:r>
          </w:p>
        </w:tc>
      </w:tr>
      <w:tr w14:paraId="55584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628" w:type="pct"/>
            <w:tcBorders>
              <w:top w:val="single" w:color="auto" w:sz="4" w:space="0"/>
              <w:left w:val="single" w:color="auto" w:sz="4" w:space="0"/>
              <w:bottom w:val="single" w:color="auto" w:sz="4" w:space="0"/>
              <w:right w:val="single" w:color="auto" w:sz="4" w:space="0"/>
            </w:tcBorders>
            <w:vAlign w:val="center"/>
          </w:tcPr>
          <w:p w14:paraId="53FE574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主要职业类别（代码）</w:t>
            </w:r>
          </w:p>
        </w:tc>
        <w:tc>
          <w:tcPr>
            <w:tcW w:w="3371" w:type="pct"/>
            <w:tcBorders>
              <w:top w:val="single" w:color="auto" w:sz="4" w:space="0"/>
              <w:left w:val="single" w:color="auto" w:sz="4" w:space="0"/>
              <w:bottom w:val="single" w:color="auto" w:sz="4" w:space="0"/>
              <w:right w:val="single" w:color="auto" w:sz="4" w:space="0"/>
            </w:tcBorders>
            <w:vAlign w:val="center"/>
          </w:tcPr>
          <w:p w14:paraId="67F45392">
            <w:pPr>
              <w:pageBreakBefore w:val="0"/>
              <w:kinsoku/>
              <w:wordWrap/>
              <w:overflowPunct/>
              <w:topLinePunct w:val="0"/>
              <w:bidi w:val="0"/>
              <w:spacing w:line="360" w:lineRule="exact"/>
              <w:jc w:val="left"/>
              <w:rPr>
                <w:rFonts w:ascii="宋体" w:hAnsi="宋体" w:cs="宋体"/>
                <w:bCs/>
                <w:color w:val="4874CB" w:themeColor="accent1"/>
                <w:sz w:val="18"/>
                <w:szCs w:val="18"/>
                <w14:textFill>
                  <w14:solidFill>
                    <w14:schemeClr w14:val="accent1"/>
                  </w14:solidFill>
                </w14:textFill>
              </w:rPr>
            </w:pPr>
            <w:r>
              <w:rPr>
                <w:rFonts w:ascii="宋体" w:hAnsi="宋体" w:cs="宋体"/>
                <w:color w:val="000000"/>
                <w:sz w:val="18"/>
                <w:szCs w:val="18"/>
              </w:rPr>
              <w:t>幼儿园教师</w:t>
            </w:r>
            <w:r>
              <w:rPr>
                <w:rFonts w:hint="eastAsia" w:ascii="宋体" w:hAnsi="宋体" w:cs="宋体"/>
                <w:bCs/>
                <w:sz w:val="18"/>
                <w:szCs w:val="18"/>
              </w:rPr>
              <w:t>（2-0</w:t>
            </w:r>
            <w:r>
              <w:rPr>
                <w:rFonts w:hint="eastAsia" w:ascii="宋体" w:hAnsi="宋体" w:cs="宋体"/>
                <w:bCs/>
                <w:sz w:val="18"/>
                <w:szCs w:val="18"/>
                <w:lang w:val="en-US" w:eastAsia="zh-CN"/>
              </w:rPr>
              <w:t>8</w:t>
            </w:r>
            <w:r>
              <w:rPr>
                <w:rFonts w:hint="eastAsia" w:ascii="宋体" w:hAnsi="宋体" w:cs="宋体"/>
                <w:bCs/>
                <w:sz w:val="18"/>
                <w:szCs w:val="18"/>
              </w:rPr>
              <w:t>-0</w:t>
            </w:r>
            <w:r>
              <w:rPr>
                <w:rFonts w:hint="eastAsia" w:ascii="宋体" w:hAnsi="宋体" w:cs="宋体"/>
                <w:bCs/>
                <w:sz w:val="18"/>
                <w:szCs w:val="18"/>
                <w:lang w:val="en-US" w:eastAsia="zh-CN"/>
              </w:rPr>
              <w:t>3</w:t>
            </w:r>
            <w:r>
              <w:rPr>
                <w:rFonts w:hint="eastAsia" w:ascii="宋体" w:hAnsi="宋体" w:cs="宋体"/>
                <w:bCs/>
                <w:sz w:val="18"/>
                <w:szCs w:val="18"/>
              </w:rPr>
              <w:t>-00）</w:t>
            </w:r>
          </w:p>
        </w:tc>
      </w:tr>
      <w:tr w14:paraId="233D1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628" w:type="pct"/>
            <w:tcBorders>
              <w:top w:val="single" w:color="auto" w:sz="4" w:space="0"/>
              <w:left w:val="single" w:color="auto" w:sz="4" w:space="0"/>
              <w:bottom w:val="single" w:color="auto" w:sz="4" w:space="0"/>
              <w:right w:val="single" w:color="auto" w:sz="4" w:space="0"/>
            </w:tcBorders>
            <w:vAlign w:val="center"/>
          </w:tcPr>
          <w:p w14:paraId="38C81B3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主要岗位（群）或技术领域</w:t>
            </w:r>
          </w:p>
        </w:tc>
        <w:tc>
          <w:tcPr>
            <w:tcW w:w="3371" w:type="pct"/>
            <w:tcBorders>
              <w:top w:val="single" w:color="auto" w:sz="4" w:space="0"/>
              <w:left w:val="single" w:color="auto" w:sz="4" w:space="0"/>
              <w:bottom w:val="single" w:color="auto" w:sz="4" w:space="0"/>
              <w:right w:val="single" w:color="auto" w:sz="4" w:space="0"/>
            </w:tcBorders>
            <w:vAlign w:val="center"/>
          </w:tcPr>
          <w:p w14:paraId="578393CA">
            <w:pPr>
              <w:pStyle w:val="6"/>
              <w:keepNext w:val="0"/>
              <w:keepLines w:val="0"/>
              <w:pageBreakBefore w:val="0"/>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幼儿园教师，保育员，早教托育教师，学前教育课程顾问</w:t>
            </w:r>
          </w:p>
        </w:tc>
      </w:tr>
      <w:tr w14:paraId="41739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1628" w:type="pct"/>
            <w:tcBorders>
              <w:top w:val="single" w:color="auto" w:sz="4" w:space="0"/>
              <w:left w:val="single" w:color="auto" w:sz="4" w:space="0"/>
              <w:bottom w:val="single" w:color="auto" w:sz="4" w:space="0"/>
              <w:right w:val="single" w:color="auto" w:sz="4" w:space="0"/>
            </w:tcBorders>
            <w:vAlign w:val="center"/>
          </w:tcPr>
          <w:p w14:paraId="589F531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职业类证书举例</w:t>
            </w:r>
          </w:p>
        </w:tc>
        <w:tc>
          <w:tcPr>
            <w:tcW w:w="3371" w:type="pct"/>
            <w:tcBorders>
              <w:top w:val="single" w:color="auto" w:sz="4" w:space="0"/>
              <w:left w:val="single" w:color="auto" w:sz="4" w:space="0"/>
              <w:bottom w:val="single" w:color="auto" w:sz="4" w:space="0"/>
              <w:right w:val="single" w:color="auto" w:sz="4" w:space="0"/>
            </w:tcBorders>
            <w:vAlign w:val="center"/>
          </w:tcPr>
          <w:p w14:paraId="358A5429">
            <w:pPr>
              <w:pStyle w:val="6"/>
              <w:pageBreakBefore w:val="0"/>
              <w:kinsoku/>
              <w:wordWrap/>
              <w:overflowPunct/>
              <w:topLinePunct w:val="0"/>
              <w:bidi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保育</w:t>
            </w:r>
            <w:r>
              <w:rPr>
                <w:rFonts w:hint="eastAsia" w:ascii="宋体" w:hAnsi="宋体" w:cs="宋体"/>
                <w:b w:val="0"/>
                <w:bCs/>
                <w:color w:val="auto"/>
                <w:sz w:val="18"/>
                <w:szCs w:val="18"/>
                <w:lang w:val="en-US" w:eastAsia="zh-CN"/>
              </w:rPr>
              <w:t>师</w:t>
            </w:r>
            <w:r>
              <w:rPr>
                <w:rFonts w:hint="eastAsia" w:ascii="宋体" w:hAnsi="宋体" w:cs="宋体"/>
                <w:b w:val="0"/>
                <w:bCs/>
                <w:color w:val="auto"/>
                <w:sz w:val="18"/>
                <w:szCs w:val="18"/>
              </w:rPr>
              <w:t>证书</w:t>
            </w:r>
          </w:p>
          <w:p w14:paraId="7C9B9CC3">
            <w:pPr>
              <w:pStyle w:val="6"/>
              <w:pageBreakBefore w:val="0"/>
              <w:kinsoku/>
              <w:wordWrap/>
              <w:overflowPunct/>
              <w:topLinePunct w:val="0"/>
              <w:bidi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幼儿园教师资格证</w:t>
            </w:r>
          </w:p>
          <w:p w14:paraId="49FA46F9">
            <w:pPr>
              <w:pageBreakBefore w:val="0"/>
              <w:kinsoku/>
              <w:wordWrap/>
              <w:overflowPunct/>
              <w:topLinePunct w:val="0"/>
              <w:bidi w:val="0"/>
              <w:spacing w:line="360" w:lineRule="exact"/>
              <w:rPr>
                <w:rFonts w:hint="eastAsia" w:ascii="宋体" w:hAnsi="宋体" w:eastAsia="宋体" w:cs="宋体"/>
                <w:b w:val="0"/>
                <w:bCs/>
                <w:color w:val="4874CB" w:themeColor="accent1"/>
                <w:sz w:val="18"/>
                <w:szCs w:val="18"/>
                <w:lang w:val="en-US" w:eastAsia="zh-CN"/>
                <w14:textFill>
                  <w14:solidFill>
                    <w14:schemeClr w14:val="accent1"/>
                  </w14:solidFill>
                </w14:textFill>
              </w:rPr>
            </w:pPr>
            <w:r>
              <w:rPr>
                <w:rFonts w:hint="eastAsia" w:ascii="宋体" w:hAnsi="宋体" w:cs="宋体"/>
                <w:bCs/>
                <w:sz w:val="18"/>
                <w:szCs w:val="18"/>
              </w:rPr>
              <w:t>育婴师证书</w:t>
            </w:r>
            <w:r>
              <w:rPr>
                <w:rFonts w:hint="eastAsia" w:ascii="宋体" w:hAnsi="宋体" w:cs="宋体"/>
                <w:bCs/>
                <w:sz w:val="18"/>
                <w:szCs w:val="18"/>
                <w:lang w:val="en-US" w:eastAsia="zh-CN"/>
              </w:rPr>
              <w:t>等</w:t>
            </w:r>
          </w:p>
        </w:tc>
      </w:tr>
    </w:tbl>
    <w:p w14:paraId="4F3B53E2">
      <w:pPr>
        <w:pStyle w:val="3"/>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五、培养目标与培养规格</w:t>
      </w:r>
    </w:p>
    <w:p w14:paraId="3C7DFE68">
      <w:pPr>
        <w:pStyle w:val="4"/>
        <w:pageBreakBefore w:val="0"/>
        <w:kinsoku/>
        <w:wordWrap/>
        <w:overflowPunct/>
        <w:topLinePunct w:val="0"/>
        <w:bidi w:val="0"/>
        <w:adjustRightInd w:val="0"/>
        <w:snapToGrid w:val="0"/>
        <w:spacing w:before="0" w:beforeLines="0" w:after="0" w:afterLines="0" w:line="360" w:lineRule="exact"/>
        <w:ind w:firstLine="422" w:firstLineChars="200"/>
        <w:rPr>
          <w:rFonts w:ascii="宋体" w:hAnsi="宋体" w:cs="宋体"/>
          <w:sz w:val="21"/>
          <w:szCs w:val="21"/>
        </w:rPr>
      </w:pPr>
      <w:bookmarkStart w:id="18" w:name="_Toc8908"/>
      <w:bookmarkStart w:id="19" w:name="_Toc31884"/>
      <w:r>
        <w:rPr>
          <w:rFonts w:hint="eastAsia" w:ascii="宋体" w:hAnsi="宋体" w:cs="宋体"/>
          <w:sz w:val="21"/>
          <w:szCs w:val="21"/>
        </w:rPr>
        <w:t>（一）培养目标</w:t>
      </w:r>
      <w:bookmarkEnd w:id="18"/>
      <w:bookmarkEnd w:id="19"/>
    </w:p>
    <w:p w14:paraId="71DE6636">
      <w:pPr>
        <w:pStyle w:val="3"/>
        <w:pageBreakBefore w:val="0"/>
        <w:kinsoku/>
        <w:wordWrap/>
        <w:overflowPunct/>
        <w:topLinePunct w:val="0"/>
        <w:bidi w:val="0"/>
        <w:adjustRightInd/>
        <w:snapToGrid/>
        <w:spacing w:before="0" w:beforeLines="0" w:after="0" w:afterLines="0" w:line="360" w:lineRule="exact"/>
        <w:ind w:firstLine="420"/>
        <w:rPr>
          <w:rFonts w:hint="default" w:cs="宋体"/>
        </w:rPr>
      </w:pPr>
      <w:r>
        <w:rPr>
          <w:rFonts w:cs="宋体"/>
          <w:b w:val="0"/>
          <w:color w:val="000000"/>
          <w:sz w:val="21"/>
          <w:szCs w:val="21"/>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教育行业的幼儿</w:t>
      </w:r>
      <w:r>
        <w:rPr>
          <w:rFonts w:hint="eastAsia" w:cs="宋体"/>
          <w:b w:val="0"/>
          <w:color w:val="000000"/>
          <w:sz w:val="21"/>
          <w:szCs w:val="21"/>
          <w:lang w:val="en-US" w:eastAsia="zh-CN"/>
        </w:rPr>
        <w:t>园</w:t>
      </w:r>
      <w:r>
        <w:rPr>
          <w:rFonts w:cs="宋体"/>
          <w:b w:val="0"/>
          <w:color w:val="000000"/>
          <w:sz w:val="21"/>
          <w:szCs w:val="21"/>
        </w:rPr>
        <w:t>教师职业，能够从事学前教育等相关工作的高素质教育工作者。</w:t>
      </w:r>
    </w:p>
    <w:p w14:paraId="141DBAE8">
      <w:pPr>
        <w:pStyle w:val="4"/>
        <w:pageBreakBefore w:val="0"/>
        <w:kinsoku/>
        <w:wordWrap/>
        <w:overflowPunct/>
        <w:topLinePunct w:val="0"/>
        <w:bidi w:val="0"/>
        <w:adjustRightInd w:val="0"/>
        <w:snapToGrid w:val="0"/>
        <w:spacing w:before="0" w:beforeLines="0" w:after="0" w:afterLines="0" w:line="360" w:lineRule="exact"/>
        <w:ind w:firstLine="422" w:firstLineChars="200"/>
      </w:pPr>
      <w:bookmarkStart w:id="20" w:name="_Toc7335"/>
      <w:bookmarkStart w:id="21" w:name="_Toc25925"/>
      <w:r>
        <w:rPr>
          <w:rFonts w:hint="eastAsia" w:ascii="宋体" w:hAnsi="宋体" w:cs="宋体"/>
          <w:sz w:val="21"/>
          <w:szCs w:val="21"/>
        </w:rPr>
        <w:t>（二）培养规格</w:t>
      </w:r>
      <w:bookmarkEnd w:id="20"/>
      <w:bookmarkEnd w:id="21"/>
    </w:p>
    <w:p w14:paraId="6BDA8E78">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本专业毕业生应在素质、知识和能力等方面达到以下要求。</w:t>
      </w:r>
    </w:p>
    <w:tbl>
      <w:tblPr>
        <w:tblStyle w:val="15"/>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704"/>
        <w:gridCol w:w="5752"/>
        <w:gridCol w:w="2394"/>
      </w:tblGrid>
      <w:tr w14:paraId="023D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8" w:type="dxa"/>
            <w:vAlign w:val="center"/>
          </w:tcPr>
          <w:p w14:paraId="540052E7">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培养规格</w:t>
            </w:r>
          </w:p>
        </w:tc>
        <w:tc>
          <w:tcPr>
            <w:tcW w:w="704" w:type="dxa"/>
            <w:vAlign w:val="center"/>
          </w:tcPr>
          <w:p w14:paraId="156CA81F">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构成要素</w:t>
            </w:r>
          </w:p>
        </w:tc>
        <w:tc>
          <w:tcPr>
            <w:tcW w:w="5752" w:type="dxa"/>
            <w:vAlign w:val="center"/>
          </w:tcPr>
          <w:p w14:paraId="26572130">
            <w:pPr>
              <w:pageBreakBefore w:val="0"/>
              <w:kinsoku/>
              <w:wordWrap/>
              <w:overflowPunct/>
              <w:topLinePunct w:val="0"/>
              <w:bidi w:val="0"/>
              <w:spacing w:line="360" w:lineRule="exact"/>
              <w:ind w:firstLine="422"/>
              <w:jc w:val="center"/>
              <w:rPr>
                <w:rFonts w:ascii="宋体" w:hAnsi="宋体" w:cs="宋体"/>
                <w:b/>
                <w:bCs/>
                <w:szCs w:val="21"/>
              </w:rPr>
            </w:pPr>
            <w:r>
              <w:rPr>
                <w:rFonts w:hint="eastAsia" w:ascii="宋体" w:hAnsi="宋体" w:cs="宋体"/>
                <w:b/>
                <w:bCs/>
                <w:szCs w:val="21"/>
              </w:rPr>
              <w:t>目标与要求</w:t>
            </w:r>
          </w:p>
        </w:tc>
        <w:tc>
          <w:tcPr>
            <w:tcW w:w="2394" w:type="dxa"/>
            <w:vAlign w:val="center"/>
          </w:tcPr>
          <w:p w14:paraId="094CEE23">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途径与措施</w:t>
            </w:r>
          </w:p>
        </w:tc>
      </w:tr>
      <w:tr w14:paraId="4C3E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668" w:type="dxa"/>
            <w:vMerge w:val="restart"/>
            <w:vAlign w:val="center"/>
          </w:tcPr>
          <w:p w14:paraId="1C64773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734A3C7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p w14:paraId="595D32A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224EA44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构</w:t>
            </w:r>
          </w:p>
          <w:p w14:paraId="261C921E">
            <w:pPr>
              <w:pageBreakBefore w:val="0"/>
              <w:kinsoku/>
              <w:wordWrap/>
              <w:overflowPunct/>
              <w:topLinePunct w:val="0"/>
              <w:bidi w:val="0"/>
              <w:spacing w:line="360" w:lineRule="exact"/>
              <w:jc w:val="center"/>
              <w:rPr>
                <w:rFonts w:ascii="宋体" w:hAnsi="宋体" w:cs="宋体"/>
                <w:b/>
                <w:bCs/>
                <w:sz w:val="18"/>
                <w:szCs w:val="18"/>
              </w:rPr>
            </w:pPr>
          </w:p>
        </w:tc>
        <w:tc>
          <w:tcPr>
            <w:tcW w:w="704" w:type="dxa"/>
            <w:vAlign w:val="center"/>
          </w:tcPr>
          <w:p w14:paraId="42541ED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公</w:t>
            </w:r>
          </w:p>
          <w:p w14:paraId="0480E92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共</w:t>
            </w:r>
          </w:p>
          <w:p w14:paraId="31C0802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基</w:t>
            </w:r>
          </w:p>
          <w:p w14:paraId="08DF835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础</w:t>
            </w:r>
          </w:p>
          <w:p w14:paraId="2FF69F3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7C7B06A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shd w:val="clear" w:color="auto" w:fill="auto"/>
            <w:vAlign w:val="center"/>
          </w:tcPr>
          <w:p w14:paraId="6F80C407">
            <w:pPr>
              <w:pStyle w:val="6"/>
              <w:keepNext w:val="0"/>
              <w:keepLines w:val="0"/>
              <w:pageBreakBefore w:val="0"/>
              <w:numPr>
                <w:ilvl w:val="0"/>
                <w:numId w:val="1"/>
              </w:numPr>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掌握毛泽东思想、邓小平理论、“三个代表”重要思想、科学发展观、习近平新时代中国特色社会主义思想，了解党的路线、方针、政策；</w:t>
            </w:r>
          </w:p>
          <w:p w14:paraId="6157D9D1">
            <w:pPr>
              <w:pageBreakBefore w:val="0"/>
              <w:numPr>
                <w:ilvl w:val="0"/>
                <w:numId w:val="1"/>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具有为国家富强、民族昌盛而努力奋斗的远大理想；</w:t>
            </w:r>
          </w:p>
          <w:p w14:paraId="793BC151">
            <w:pPr>
              <w:pageBreakBefore w:val="0"/>
              <w:numPr>
                <w:ilvl w:val="0"/>
                <w:numId w:val="1"/>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具有求实创新的科学精神、刻苦钻研的实干精神、团结协作的团队精神；</w:t>
            </w:r>
          </w:p>
          <w:p w14:paraId="1A47B21D">
            <w:pPr>
              <w:pStyle w:val="6"/>
              <w:keepNext w:val="0"/>
              <w:keepLines w:val="0"/>
              <w:pageBreakBefore w:val="0"/>
              <w:kinsoku/>
              <w:wordWrap/>
              <w:overflowPunct/>
              <w:topLinePunct w:val="0"/>
              <w:bidi w:val="0"/>
              <w:spacing w:line="360" w:lineRule="exac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（4）熟练掌握计算机应用基础知识和网络知识。</w:t>
            </w:r>
          </w:p>
        </w:tc>
        <w:tc>
          <w:tcPr>
            <w:tcW w:w="2394" w:type="dxa"/>
            <w:shd w:val="clear" w:color="auto" w:fill="auto"/>
            <w:vAlign w:val="center"/>
          </w:tcPr>
          <w:p w14:paraId="1F16CC04">
            <w:pPr>
              <w:pStyle w:val="20"/>
              <w:pageBreakBefore w:val="0"/>
              <w:kinsoku/>
              <w:wordWrap/>
              <w:overflowPunct/>
              <w:topLinePunct w:val="0"/>
              <w:bidi w:val="0"/>
              <w:spacing w:line="360" w:lineRule="exact"/>
              <w:ind w:firstLine="0" w:firstLineChars="0"/>
              <w:rPr>
                <w:bCs/>
                <w:sz w:val="18"/>
                <w:szCs w:val="18"/>
              </w:rPr>
            </w:pPr>
            <w:r>
              <w:rPr>
                <w:rFonts w:hint="eastAsia"/>
                <w:bCs/>
                <w:sz w:val="18"/>
                <w:szCs w:val="18"/>
              </w:rPr>
              <w:t>毛泽东思想和中国特色社会主义理论体系概论</w:t>
            </w:r>
          </w:p>
          <w:p w14:paraId="749254ED">
            <w:pPr>
              <w:pStyle w:val="20"/>
              <w:pageBreakBefore w:val="0"/>
              <w:kinsoku/>
              <w:wordWrap/>
              <w:overflowPunct/>
              <w:topLinePunct w:val="0"/>
              <w:bidi w:val="0"/>
              <w:spacing w:line="360" w:lineRule="exact"/>
              <w:ind w:firstLine="0" w:firstLineChars="0"/>
              <w:rPr>
                <w:bCs/>
                <w:sz w:val="18"/>
                <w:szCs w:val="18"/>
              </w:rPr>
            </w:pPr>
            <w:r>
              <w:rPr>
                <w:rFonts w:hint="eastAsia"/>
                <w:bCs/>
                <w:sz w:val="18"/>
                <w:szCs w:val="18"/>
              </w:rPr>
              <w:t>习近平新时代中国特色社会主义思想概论</w:t>
            </w:r>
          </w:p>
          <w:p w14:paraId="46C17BA3">
            <w:pPr>
              <w:pStyle w:val="20"/>
              <w:pageBreakBefore w:val="0"/>
              <w:kinsoku/>
              <w:wordWrap/>
              <w:overflowPunct/>
              <w:topLinePunct w:val="0"/>
              <w:bidi w:val="0"/>
              <w:spacing w:line="360" w:lineRule="exact"/>
              <w:ind w:firstLine="0" w:firstLineChars="0"/>
            </w:pPr>
            <w:r>
              <w:rPr>
                <w:rFonts w:hint="eastAsia"/>
                <w:bCs/>
                <w:sz w:val="18"/>
                <w:szCs w:val="18"/>
              </w:rPr>
              <w:t>职业发展与就业指导</w:t>
            </w:r>
          </w:p>
        </w:tc>
      </w:tr>
      <w:tr w14:paraId="63A8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68" w:type="dxa"/>
            <w:vMerge w:val="continue"/>
            <w:vAlign w:val="center"/>
          </w:tcPr>
          <w:p w14:paraId="54CB1096">
            <w:pPr>
              <w:pageBreakBefore w:val="0"/>
              <w:kinsoku/>
              <w:wordWrap/>
              <w:overflowPunct/>
              <w:topLinePunct w:val="0"/>
              <w:bidi w:val="0"/>
              <w:spacing w:line="360" w:lineRule="exact"/>
              <w:ind w:firstLine="422"/>
              <w:jc w:val="center"/>
              <w:rPr>
                <w:rFonts w:ascii="宋体" w:hAnsi="宋体" w:cs="宋体"/>
                <w:b/>
                <w:bCs/>
                <w:sz w:val="18"/>
                <w:szCs w:val="18"/>
              </w:rPr>
            </w:pPr>
          </w:p>
        </w:tc>
        <w:tc>
          <w:tcPr>
            <w:tcW w:w="704" w:type="dxa"/>
            <w:vAlign w:val="center"/>
          </w:tcPr>
          <w:p w14:paraId="04C10DA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0189BB5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6217855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基</w:t>
            </w:r>
          </w:p>
          <w:p w14:paraId="11370E6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础</w:t>
            </w:r>
          </w:p>
          <w:p w14:paraId="20110E1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2E210E8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shd w:val="clear" w:color="auto" w:fill="auto"/>
            <w:vAlign w:val="center"/>
          </w:tcPr>
          <w:p w14:paraId="7B10F33D">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（1）了解本专业必修的幼儿园管理知识及学前教育教学知识；</w:t>
            </w:r>
          </w:p>
          <w:p w14:paraId="30597A78">
            <w:pPr>
              <w:pStyle w:val="6"/>
              <w:keepNext w:val="0"/>
              <w:keepLines w:val="0"/>
              <w:pageBreakBefore w:val="0"/>
              <w:kinsoku/>
              <w:wordWrap/>
              <w:overflowPunct/>
              <w:topLinePunct w:val="0"/>
              <w:bidi w:val="0"/>
              <w:spacing w:line="360" w:lineRule="exact"/>
              <w:outlineLvl w:val="3"/>
              <w:rPr>
                <w:color w:val="auto"/>
                <w:sz w:val="18"/>
                <w:szCs w:val="18"/>
              </w:rPr>
            </w:pPr>
            <w:r>
              <w:rPr>
                <w:rFonts w:hint="eastAsia" w:ascii="宋体" w:hAnsi="宋体" w:cs="宋体"/>
                <w:b w:val="0"/>
                <w:bCs/>
                <w:color w:val="auto"/>
                <w:sz w:val="18"/>
                <w:szCs w:val="18"/>
              </w:rPr>
              <w:t>（2）了解本专业相关的音乐、美术、舞蹈等相应的基础知识；</w:t>
            </w:r>
          </w:p>
          <w:p w14:paraId="39BC56D2">
            <w:pPr>
              <w:pageBreakBefore w:val="0"/>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（3）了解幼儿心理及幼儿营养与卫生保健等相关指导性知识；</w:t>
            </w:r>
          </w:p>
        </w:tc>
        <w:tc>
          <w:tcPr>
            <w:tcW w:w="2394" w:type="dxa"/>
            <w:shd w:val="clear" w:color="auto" w:fill="auto"/>
            <w:vAlign w:val="center"/>
          </w:tcPr>
          <w:p w14:paraId="191E1D7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学前教育概论</w:t>
            </w:r>
          </w:p>
          <w:p w14:paraId="5780794E">
            <w:pPr>
              <w:pStyle w:val="20"/>
              <w:pageBreakBefore w:val="0"/>
              <w:kinsoku/>
              <w:wordWrap/>
              <w:overflowPunct/>
              <w:topLinePunct w:val="0"/>
              <w:bidi w:val="0"/>
              <w:spacing w:line="360" w:lineRule="exact"/>
              <w:ind w:firstLine="0" w:firstLineChars="0"/>
              <w:rPr>
                <w:sz w:val="18"/>
                <w:szCs w:val="18"/>
              </w:rPr>
            </w:pPr>
            <w:r>
              <w:rPr>
                <w:rFonts w:hint="eastAsia"/>
                <w:bCs/>
                <w:sz w:val="18"/>
                <w:szCs w:val="18"/>
              </w:rPr>
              <w:t>学前儿童心理发展</w:t>
            </w:r>
          </w:p>
          <w:p w14:paraId="15A5818E">
            <w:pPr>
              <w:pStyle w:val="20"/>
              <w:pageBreakBefore w:val="0"/>
              <w:kinsoku/>
              <w:wordWrap/>
              <w:overflowPunct/>
              <w:topLinePunct w:val="0"/>
              <w:bidi w:val="0"/>
              <w:spacing w:line="360" w:lineRule="exact"/>
              <w:ind w:firstLine="0" w:firstLineChars="0"/>
              <w:rPr>
                <w:bCs/>
                <w:sz w:val="18"/>
                <w:szCs w:val="18"/>
              </w:rPr>
            </w:pPr>
            <w:r>
              <w:rPr>
                <w:rFonts w:hint="eastAsia"/>
                <w:bCs/>
                <w:sz w:val="18"/>
                <w:szCs w:val="18"/>
              </w:rPr>
              <w:t>幼儿舞蹈</w:t>
            </w:r>
          </w:p>
          <w:p w14:paraId="2E985BCF">
            <w:pPr>
              <w:pStyle w:val="20"/>
              <w:pageBreakBefore w:val="0"/>
              <w:kinsoku/>
              <w:wordWrap/>
              <w:overflowPunct/>
              <w:topLinePunct w:val="0"/>
              <w:bidi w:val="0"/>
              <w:spacing w:line="360" w:lineRule="exact"/>
              <w:ind w:firstLine="0" w:firstLineChars="0"/>
              <w:rPr>
                <w:bCs/>
                <w:sz w:val="18"/>
                <w:szCs w:val="18"/>
              </w:rPr>
            </w:pPr>
            <w:r>
              <w:rPr>
                <w:rFonts w:hint="eastAsia"/>
                <w:bCs/>
                <w:sz w:val="18"/>
                <w:szCs w:val="18"/>
              </w:rPr>
              <w:t>钢琴</w:t>
            </w:r>
          </w:p>
          <w:p w14:paraId="7314A7E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学前儿童卫生与保健</w:t>
            </w:r>
          </w:p>
          <w:p w14:paraId="79674557">
            <w:pPr>
              <w:pStyle w:val="20"/>
              <w:pageBreakBefore w:val="0"/>
              <w:kinsoku/>
              <w:wordWrap/>
              <w:overflowPunct/>
              <w:topLinePunct w:val="0"/>
              <w:bidi w:val="0"/>
              <w:spacing w:line="360" w:lineRule="exact"/>
              <w:ind w:firstLine="0" w:firstLineChars="0"/>
              <w:rPr>
                <w:bCs/>
                <w:sz w:val="18"/>
                <w:szCs w:val="18"/>
              </w:rPr>
            </w:pPr>
            <w:r>
              <w:rPr>
                <w:rFonts w:hint="eastAsia"/>
                <w:bCs/>
                <w:sz w:val="18"/>
                <w:szCs w:val="18"/>
              </w:rPr>
              <w:t>幼儿园教师艺术技能</w:t>
            </w:r>
          </w:p>
          <w:p w14:paraId="21A88290">
            <w:pPr>
              <w:pStyle w:val="2"/>
              <w:pageBreakBefore w:val="0"/>
              <w:kinsoku/>
              <w:wordWrap/>
              <w:overflowPunct/>
              <w:topLinePunct w:val="0"/>
              <w:bidi w:val="0"/>
              <w:spacing w:after="0" w:line="360" w:lineRule="exact"/>
              <w:rPr>
                <w:sz w:val="18"/>
                <w:szCs w:val="21"/>
              </w:rPr>
            </w:pPr>
            <w:bookmarkStart w:id="22" w:name="_Hlk202968994"/>
            <w:r>
              <w:rPr>
                <w:rFonts w:hint="eastAsia" w:ascii="宋体" w:hAnsi="宋体" w:cs="宋体"/>
                <w:bCs/>
                <w:sz w:val="18"/>
                <w:szCs w:val="18"/>
              </w:rPr>
              <w:t>幼儿</w:t>
            </w:r>
            <w:r>
              <w:rPr>
                <w:rFonts w:ascii="宋体" w:hAnsi="宋体" w:cs="宋体"/>
                <w:bCs/>
                <w:sz w:val="18"/>
                <w:szCs w:val="18"/>
              </w:rPr>
              <w:t>教师职业道德与</w:t>
            </w:r>
            <w:r>
              <w:rPr>
                <w:rFonts w:hint="eastAsia" w:ascii="宋体" w:hAnsi="宋体" w:cs="宋体"/>
                <w:bCs/>
                <w:sz w:val="18"/>
                <w:szCs w:val="18"/>
              </w:rPr>
              <w:t>施教</w:t>
            </w:r>
            <w:r>
              <w:rPr>
                <w:rFonts w:ascii="宋体" w:hAnsi="宋体" w:cs="宋体"/>
                <w:bCs/>
                <w:sz w:val="18"/>
                <w:szCs w:val="18"/>
              </w:rPr>
              <w:t>能力</w:t>
            </w:r>
          </w:p>
          <w:bookmarkEnd w:id="22"/>
          <w:p w14:paraId="51FFE531">
            <w:pPr>
              <w:pStyle w:val="2"/>
              <w:pageBreakBefore w:val="0"/>
              <w:kinsoku/>
              <w:wordWrap/>
              <w:overflowPunct/>
              <w:topLinePunct w:val="0"/>
              <w:bidi w:val="0"/>
              <w:spacing w:after="0" w:line="360" w:lineRule="exact"/>
              <w:rPr>
                <w:rFonts w:ascii="宋体" w:hAnsi="宋体" w:cs="宋体"/>
                <w:bCs/>
                <w:color w:val="4874CB" w:themeColor="accent1"/>
                <w:sz w:val="18"/>
                <w:szCs w:val="18"/>
                <w14:textFill>
                  <w14:solidFill>
                    <w14:schemeClr w14:val="accent1"/>
                  </w14:solidFill>
                </w14:textFill>
              </w:rPr>
            </w:pPr>
            <w:r>
              <w:rPr>
                <w:rFonts w:hint="eastAsia"/>
                <w:sz w:val="18"/>
                <w:szCs w:val="21"/>
              </w:rPr>
              <w:t>幼儿绘画</w:t>
            </w:r>
          </w:p>
        </w:tc>
      </w:tr>
      <w:tr w14:paraId="0FBF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668" w:type="dxa"/>
            <w:vMerge w:val="continue"/>
            <w:vAlign w:val="center"/>
          </w:tcPr>
          <w:p w14:paraId="7F408490">
            <w:pPr>
              <w:pageBreakBefore w:val="0"/>
              <w:kinsoku/>
              <w:wordWrap/>
              <w:overflowPunct/>
              <w:topLinePunct w:val="0"/>
              <w:bidi w:val="0"/>
              <w:spacing w:line="360" w:lineRule="exact"/>
              <w:ind w:firstLine="422"/>
              <w:jc w:val="center"/>
              <w:rPr>
                <w:rFonts w:ascii="宋体" w:hAnsi="宋体" w:cs="宋体"/>
                <w:b/>
                <w:bCs/>
                <w:sz w:val="18"/>
                <w:szCs w:val="18"/>
              </w:rPr>
            </w:pPr>
          </w:p>
        </w:tc>
        <w:tc>
          <w:tcPr>
            <w:tcW w:w="704" w:type="dxa"/>
            <w:vAlign w:val="center"/>
          </w:tcPr>
          <w:p w14:paraId="416A7CA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61D839E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45B6737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核</w:t>
            </w:r>
          </w:p>
          <w:p w14:paraId="4414E9B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715C726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0C1F3B6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shd w:val="clear" w:color="auto" w:fill="auto"/>
            <w:vAlign w:val="center"/>
          </w:tcPr>
          <w:p w14:paraId="4819A1C5">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4874CB" w:themeColor="accent1"/>
                <w:sz w:val="18"/>
                <w:szCs w:val="18"/>
                <w14:textFill>
                  <w14:solidFill>
                    <w14:schemeClr w14:val="accent1"/>
                  </w14:solidFill>
                </w14:textFill>
              </w:rPr>
              <w:t>（</w:t>
            </w:r>
            <w:r>
              <w:rPr>
                <w:rFonts w:hint="eastAsia" w:ascii="宋体" w:hAnsi="宋体" w:cs="宋体"/>
                <w:b w:val="0"/>
                <w:bCs/>
                <w:color w:val="auto"/>
                <w:sz w:val="18"/>
                <w:szCs w:val="18"/>
              </w:rPr>
              <w:t>（1）掌握教育科学和学前儿童身心发展以及保育教育的基础知识、基本理论和基本技能，熟悉幼儿建构知识、获得技能、品德塑造、习惯形成的过程，熟悉幼儿年龄阶段特征和个体发展的差异性。</w:t>
            </w:r>
          </w:p>
          <w:p w14:paraId="20404026">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（2）熟悉幼儿园教育的目标、任务、内容、要求和基本原则，掌握幼儿园健康、语言、社会、科学、艺术等各领域教育的学科特点与基本知识。</w:t>
            </w:r>
          </w:p>
          <w:p w14:paraId="7C47AD00">
            <w:pPr>
              <w:pStyle w:val="6"/>
              <w:keepNext w:val="0"/>
              <w:keepLines w:val="0"/>
              <w:pageBreakBefore w:val="0"/>
              <w:kinsoku/>
              <w:wordWrap/>
              <w:overflowPunct/>
              <w:topLinePunct w:val="0"/>
              <w:bidi w:val="0"/>
              <w:spacing w:line="360" w:lineRule="exact"/>
              <w:outlineLvl w:val="3"/>
              <w:rPr>
                <w:rFonts w:ascii="宋体" w:hAnsi="宋体" w:cs="宋体"/>
                <w:b w:val="0"/>
                <w:bCs/>
                <w:color w:val="4874CB" w:themeColor="accent1"/>
                <w:sz w:val="18"/>
                <w:szCs w:val="18"/>
                <w14:textFill>
                  <w14:solidFill>
                    <w14:schemeClr w14:val="accent1"/>
                  </w14:solidFill>
                </w14:textFill>
              </w:rPr>
            </w:pPr>
            <w:r>
              <w:rPr>
                <w:rFonts w:hint="eastAsia"/>
                <w:b w:val="0"/>
                <w:bCs/>
                <w:color w:val="auto"/>
                <w:sz w:val="18"/>
                <w:szCs w:val="21"/>
              </w:rPr>
              <w:t>（3）能够创设安全、适宜、全面，有助于促进幼儿成长、学习、游戏的物质环境，合理利用资源，为幼儿提供和制作适合的玩教具和学习材料。</w:t>
            </w:r>
          </w:p>
        </w:tc>
        <w:tc>
          <w:tcPr>
            <w:tcW w:w="2394" w:type="dxa"/>
            <w:shd w:val="clear" w:color="auto" w:fill="auto"/>
            <w:vAlign w:val="center"/>
          </w:tcPr>
          <w:p w14:paraId="5D39DC2D">
            <w:pPr>
              <w:pageBreakBefore w:val="0"/>
              <w:kinsoku/>
              <w:wordWrap/>
              <w:overflowPunct/>
              <w:topLinePunct w:val="0"/>
              <w:bidi w:val="0"/>
              <w:spacing w:line="360" w:lineRule="exact"/>
              <w:rPr>
                <w:rFonts w:ascii="宋体" w:hAnsi="宋体" w:cs="宋体"/>
                <w:bCs/>
                <w:sz w:val="18"/>
                <w:szCs w:val="18"/>
              </w:rPr>
            </w:pPr>
            <w:bookmarkStart w:id="23" w:name="OLE_LINK10"/>
            <w:r>
              <w:rPr>
                <w:rFonts w:hint="eastAsia" w:ascii="宋体" w:hAnsi="宋体" w:cs="宋体"/>
                <w:bCs/>
                <w:sz w:val="18"/>
                <w:szCs w:val="18"/>
              </w:rPr>
              <w:t>幼儿园班级管理</w:t>
            </w:r>
          </w:p>
          <w:p w14:paraId="7A6D92B5">
            <w:pPr>
              <w:pStyle w:val="20"/>
              <w:pageBreakBefore w:val="0"/>
              <w:kinsoku/>
              <w:wordWrap/>
              <w:overflowPunct/>
              <w:topLinePunct w:val="0"/>
              <w:bidi w:val="0"/>
              <w:spacing w:line="360" w:lineRule="exact"/>
              <w:ind w:firstLine="0" w:firstLineChars="0"/>
              <w:rPr>
                <w:bCs/>
                <w:sz w:val="18"/>
                <w:szCs w:val="18"/>
              </w:rPr>
            </w:pPr>
            <w:r>
              <w:rPr>
                <w:rFonts w:hint="eastAsia"/>
                <w:bCs/>
                <w:sz w:val="18"/>
                <w:szCs w:val="18"/>
              </w:rPr>
              <w:t>幼儿园教育活动设计与实施</w:t>
            </w:r>
          </w:p>
          <w:p w14:paraId="73960F0F">
            <w:pPr>
              <w:pStyle w:val="20"/>
              <w:pageBreakBefore w:val="0"/>
              <w:kinsoku/>
              <w:wordWrap/>
              <w:overflowPunct/>
              <w:topLinePunct w:val="0"/>
              <w:bidi w:val="0"/>
              <w:spacing w:line="360" w:lineRule="exact"/>
              <w:ind w:firstLine="0" w:firstLineChars="0"/>
              <w:rPr>
                <w:bCs/>
                <w:sz w:val="18"/>
                <w:szCs w:val="18"/>
              </w:rPr>
            </w:pPr>
            <w:r>
              <w:rPr>
                <w:rFonts w:hint="eastAsia"/>
                <w:bCs/>
                <w:sz w:val="18"/>
                <w:szCs w:val="18"/>
              </w:rPr>
              <w:t>幼儿园环境创设</w:t>
            </w:r>
          </w:p>
          <w:p w14:paraId="19FE7B2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幼儿园课程</w:t>
            </w:r>
          </w:p>
          <w:p w14:paraId="08200401">
            <w:pPr>
              <w:pStyle w:val="2"/>
              <w:pageBreakBefore w:val="0"/>
              <w:kinsoku/>
              <w:wordWrap/>
              <w:overflowPunct/>
              <w:topLinePunct w:val="0"/>
              <w:bidi w:val="0"/>
              <w:spacing w:after="0" w:line="360" w:lineRule="exact"/>
            </w:pPr>
            <w:r>
              <w:rPr>
                <w:rFonts w:hint="eastAsia" w:ascii="宋体" w:hAnsi="宋体" w:cs="宋体"/>
                <w:bCs/>
                <w:sz w:val="18"/>
                <w:szCs w:val="18"/>
              </w:rPr>
              <w:t>幼儿行为观察与评价</w:t>
            </w:r>
          </w:p>
          <w:p w14:paraId="21C51BE5">
            <w:pPr>
              <w:pageBreakBefore w:val="0"/>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sz w:val="18"/>
                <w:szCs w:val="21"/>
              </w:rPr>
              <w:t>幼儿游戏活动指导</w:t>
            </w:r>
            <w:bookmarkEnd w:id="23"/>
          </w:p>
        </w:tc>
      </w:tr>
      <w:tr w14:paraId="1BD1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68" w:type="dxa"/>
            <w:vMerge w:val="continue"/>
            <w:vAlign w:val="center"/>
          </w:tcPr>
          <w:p w14:paraId="1D05C878">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671DC69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31F5ABA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7094B33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拓</w:t>
            </w:r>
          </w:p>
          <w:p w14:paraId="5D1E0A4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展</w:t>
            </w:r>
          </w:p>
          <w:p w14:paraId="5B2E13E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383546B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shd w:val="clear" w:color="auto" w:fill="auto"/>
            <w:vAlign w:val="center"/>
          </w:tcPr>
          <w:p w14:paraId="26E6A0F0">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（1）通过玩教具制作和故事创编、幼儿园环创的教学实践，充分掌握相关的基本方法、技巧、教学组织、教学设计，合理实施教学</w:t>
            </w:r>
            <w:r>
              <w:rPr>
                <w:rFonts w:hint="eastAsia" w:ascii="宋体" w:hAnsi="宋体" w:cs="宋体"/>
                <w:b w:val="0"/>
                <w:color w:val="auto"/>
                <w:sz w:val="18"/>
                <w:szCs w:val="18"/>
              </w:rPr>
              <w:t>；</w:t>
            </w:r>
          </w:p>
          <w:p w14:paraId="66176D74">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（2）了解学前儿童行为观察与记录方法的基本内容，把握学前儿童行为观察与记录的要求，做好观察的准备</w:t>
            </w:r>
            <w:r>
              <w:rPr>
                <w:rFonts w:hint="eastAsia" w:ascii="宋体" w:hAnsi="宋体" w:cs="宋体"/>
                <w:b w:val="0"/>
                <w:color w:val="auto"/>
                <w:sz w:val="18"/>
                <w:szCs w:val="18"/>
              </w:rPr>
              <w:t>；</w:t>
            </w:r>
          </w:p>
          <w:p w14:paraId="3645353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（3）掌握奥尔夫音乐游戏的教学步骤和方法；</w:t>
            </w:r>
          </w:p>
          <w:p w14:paraId="5AD4B759">
            <w:pPr>
              <w:pStyle w:val="6"/>
              <w:keepNext w:val="0"/>
              <w:keepLines w:val="0"/>
              <w:pageBreakBefore w:val="0"/>
              <w:kinsoku/>
              <w:wordWrap/>
              <w:overflowPunct/>
              <w:topLinePunct w:val="0"/>
              <w:bidi w:val="0"/>
              <w:spacing w:line="360" w:lineRule="exac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（4）理解蒙台梭利的儿童观、教师观和教学观。</w:t>
            </w:r>
          </w:p>
        </w:tc>
        <w:tc>
          <w:tcPr>
            <w:tcW w:w="2394" w:type="dxa"/>
            <w:shd w:val="clear" w:color="auto" w:fill="auto"/>
            <w:vAlign w:val="center"/>
          </w:tcPr>
          <w:p w14:paraId="378E76C5">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少儿体适能训练与指导</w:t>
            </w:r>
          </w:p>
          <w:p w14:paraId="3F71A36F">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奥尔夫音乐教学法</w:t>
            </w:r>
          </w:p>
          <w:p w14:paraId="6091E695">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中外学前教育史</w:t>
            </w:r>
          </w:p>
          <w:p w14:paraId="48E5FB51">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儿歌弹唱</w:t>
            </w:r>
          </w:p>
          <w:p w14:paraId="205BF70E">
            <w:pPr>
              <w:pageBreakBefore w:val="0"/>
              <w:kinsoku/>
              <w:wordWrap/>
              <w:overflowPunct/>
              <w:topLinePunct w:val="0"/>
              <w:bidi w:val="0"/>
              <w:spacing w:line="360" w:lineRule="exact"/>
              <w:rPr>
                <w:rFonts w:hint="eastAsia" w:ascii="宋体" w:hAnsi="宋体" w:cs="宋体"/>
                <w:bCs/>
                <w:sz w:val="18"/>
                <w:szCs w:val="18"/>
                <w:lang w:val="en-US" w:eastAsia="zh-CN"/>
              </w:rPr>
            </w:pPr>
            <w:r>
              <w:rPr>
                <w:rFonts w:hint="eastAsia" w:ascii="宋体" w:hAnsi="宋体" w:cs="宋体"/>
                <w:bCs/>
                <w:sz w:val="18"/>
                <w:szCs w:val="18"/>
              </w:rPr>
              <w:t>幼儿园</w:t>
            </w:r>
            <w:r>
              <w:rPr>
                <w:rFonts w:hint="eastAsia" w:ascii="宋体" w:hAnsi="宋体" w:cs="宋体"/>
                <w:bCs/>
                <w:sz w:val="18"/>
                <w:szCs w:val="18"/>
                <w:lang w:val="en-US" w:eastAsia="zh-CN"/>
              </w:rPr>
              <w:t>玩教具制作</w:t>
            </w:r>
          </w:p>
          <w:p w14:paraId="4491F5F1">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儿童文学</w:t>
            </w:r>
          </w:p>
          <w:p w14:paraId="47C57F4B">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家庭与社区教育</w:t>
            </w:r>
          </w:p>
          <w:p w14:paraId="73F69442">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0-3岁婴幼儿保育与教育</w:t>
            </w:r>
          </w:p>
          <w:p w14:paraId="1A22A318">
            <w:pPr>
              <w:pageBreakBefore w:val="0"/>
              <w:kinsoku/>
              <w:wordWrap/>
              <w:overflowPunct/>
              <w:topLinePunct w:val="0"/>
              <w:bidi w:val="0"/>
              <w:spacing w:line="360" w:lineRule="exact"/>
              <w:rPr>
                <w:rFonts w:hint="eastAsia" w:ascii="宋体" w:hAnsi="宋体" w:cs="宋体"/>
                <w:bCs/>
                <w:sz w:val="18"/>
                <w:szCs w:val="18"/>
                <w:lang w:val="en-US" w:eastAsia="zh-CN"/>
              </w:rPr>
            </w:pPr>
            <w:r>
              <w:rPr>
                <w:rFonts w:hint="eastAsia" w:ascii="宋体" w:hAnsi="宋体" w:cs="宋体"/>
                <w:bCs/>
                <w:sz w:val="18"/>
                <w:szCs w:val="18"/>
                <w:lang w:val="en-US" w:eastAsia="zh-CN"/>
              </w:rPr>
              <w:t>学前教育政策法规</w:t>
            </w:r>
          </w:p>
          <w:p w14:paraId="64766DDA">
            <w:pPr>
              <w:pageBreakBefore w:val="0"/>
              <w:kinsoku/>
              <w:wordWrap/>
              <w:overflowPunct/>
              <w:topLinePunct w:val="0"/>
              <w:bidi w:val="0"/>
              <w:spacing w:line="360" w:lineRule="exact"/>
              <w:rPr>
                <w:rFonts w:hint="default"/>
                <w:sz w:val="18"/>
                <w:szCs w:val="18"/>
                <w:lang w:val="en-US" w:eastAsia="zh-CN"/>
              </w:rPr>
            </w:pPr>
            <w:r>
              <w:rPr>
                <w:rFonts w:hint="eastAsia" w:ascii="宋体" w:hAnsi="宋体" w:cs="宋体"/>
                <w:bCs/>
                <w:sz w:val="18"/>
                <w:szCs w:val="18"/>
                <w:lang w:val="en-US" w:eastAsia="zh-CN"/>
              </w:rPr>
              <w:t>学前儿童融合教育</w:t>
            </w:r>
          </w:p>
        </w:tc>
      </w:tr>
      <w:tr w14:paraId="40E1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237B5FA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76BBF44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p w14:paraId="6F30847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3024EC6B">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b/>
                <w:bCs/>
                <w:sz w:val="18"/>
                <w:szCs w:val="18"/>
              </w:rPr>
              <w:t>构</w:t>
            </w:r>
          </w:p>
        </w:tc>
        <w:tc>
          <w:tcPr>
            <w:tcW w:w="704" w:type="dxa"/>
            <w:vAlign w:val="center"/>
          </w:tcPr>
          <w:p w14:paraId="6F353AA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社</w:t>
            </w:r>
          </w:p>
          <w:p w14:paraId="7B53DFD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会</w:t>
            </w:r>
          </w:p>
          <w:p w14:paraId="2A2E988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10DEC30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力</w:t>
            </w:r>
          </w:p>
        </w:tc>
        <w:tc>
          <w:tcPr>
            <w:tcW w:w="5752" w:type="dxa"/>
            <w:shd w:val="clear" w:color="auto" w:fill="auto"/>
            <w:vAlign w:val="center"/>
          </w:tcPr>
          <w:p w14:paraId="6AA5BC8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（1）具有对安全生产法律法规的理解、贯彻能力；</w:t>
            </w:r>
          </w:p>
          <w:p w14:paraId="19C71B8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（2）具有较强沟通协作能力，问题解决能力、创新能力；</w:t>
            </w:r>
          </w:p>
          <w:p w14:paraId="09EBFE4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（3）具有获取本专业前沿知识和相关学科知识的自学能力。</w:t>
            </w:r>
          </w:p>
          <w:p w14:paraId="45903171">
            <w:pPr>
              <w:pageBreakBefore w:val="0"/>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p>
        </w:tc>
        <w:tc>
          <w:tcPr>
            <w:tcW w:w="2394" w:type="dxa"/>
            <w:shd w:val="clear" w:color="auto" w:fill="auto"/>
            <w:vAlign w:val="center"/>
          </w:tcPr>
          <w:p w14:paraId="3BB4FAD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安全培训</w:t>
            </w:r>
          </w:p>
          <w:p w14:paraId="673F519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社团活动</w:t>
            </w:r>
          </w:p>
          <w:p w14:paraId="6D77616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劳动教育</w:t>
            </w:r>
            <w:r>
              <w:rPr>
                <w:rFonts w:hint="eastAsia" w:ascii="宋体" w:hAnsi="宋体" w:cs="宋体"/>
                <w:b w:val="0"/>
                <w:color w:val="auto"/>
                <w:sz w:val="18"/>
                <w:szCs w:val="18"/>
              </w:rPr>
              <w:t>与实践</w:t>
            </w:r>
          </w:p>
          <w:p w14:paraId="1C815971">
            <w:pPr>
              <w:pageBreakBefore w:val="0"/>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专业讲座</w:t>
            </w:r>
          </w:p>
        </w:tc>
      </w:tr>
      <w:tr w14:paraId="68E0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668" w:type="dxa"/>
            <w:vMerge w:val="continue"/>
            <w:vAlign w:val="center"/>
          </w:tcPr>
          <w:p w14:paraId="4ABA52D6">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41388B5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4B3EAE8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2A7EA6F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核</w:t>
            </w:r>
          </w:p>
          <w:p w14:paraId="71AC097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62298A5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2170A2B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shd w:val="clear" w:color="auto" w:fill="auto"/>
            <w:vAlign w:val="center"/>
          </w:tcPr>
          <w:p w14:paraId="5760F28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（1）有合格的幼儿教师语言技能、书写技能、音乐技能、美术技能、手工技能、舞蹈技能，具备良好的信息素养，能够较为熟练地把现代信息技术应用于教育教学。</w:t>
            </w:r>
          </w:p>
          <w:p w14:paraId="3DBE3E5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够依据《幼儿园教育指导纲要（试行）》和《3-6岁儿童学习与发展指南》，根据幼儿身心发展规律和学习特点，运用幼儿保育与教育知识，科学规划一日生活、科学创设环境、合理组织活动。具有观察幼儿、与幼儿谈话并能记录与分析的能力。</w:t>
            </w:r>
          </w:p>
          <w:p w14:paraId="3CF869D3">
            <w:pPr>
              <w:pStyle w:val="6"/>
              <w:keepNext w:val="0"/>
              <w:keepLines w:val="0"/>
              <w:pageBreakBefore w:val="0"/>
              <w:kinsoku/>
              <w:wordWrap/>
              <w:overflowPunct/>
              <w:topLinePunct w:val="0"/>
              <w:bidi w:val="0"/>
              <w:spacing w:line="360" w:lineRule="exact"/>
              <w:outlineLvl w:val="3"/>
              <w:rPr>
                <w:rFonts w:ascii="宋体" w:hAnsi="宋体" w:cs="宋体"/>
                <w:b w:val="0"/>
                <w:bCs/>
                <w:color w:val="4874CB" w:themeColor="accent1"/>
                <w:sz w:val="18"/>
                <w:szCs w:val="18"/>
                <w14:textFill>
                  <w14:solidFill>
                    <w14:schemeClr w14:val="accent1"/>
                  </w14:solidFill>
                </w14:textFill>
              </w:rPr>
            </w:pPr>
            <w:r>
              <w:rPr>
                <w:rFonts w:hint="eastAsia"/>
                <w:b w:val="0"/>
                <w:bCs/>
                <w:color w:val="auto"/>
                <w:sz w:val="18"/>
                <w:szCs w:val="21"/>
              </w:rPr>
              <w:t>（3）能够安排和组织幼儿园一日生活的主要环节，具有将教育渗透一日生活的意识，能够与保育员协同开展班级常规保育和卫生工作。</w:t>
            </w:r>
          </w:p>
          <w:p w14:paraId="6A435DCD">
            <w:pPr>
              <w:pStyle w:val="6"/>
              <w:keepNext w:val="0"/>
              <w:keepLines w:val="0"/>
              <w:pageBreakBefore w:val="0"/>
              <w:kinsoku/>
              <w:wordWrap/>
              <w:overflowPunct/>
              <w:topLinePunct w:val="0"/>
              <w:bidi w:val="0"/>
              <w:spacing w:line="360" w:lineRule="exact"/>
              <w:outlineLvl w:val="3"/>
              <w:rPr>
                <w:rFonts w:ascii="宋体" w:hAnsi="宋体" w:cs="宋体"/>
                <w:b w:val="0"/>
                <w:bCs/>
                <w:color w:val="4874CB" w:themeColor="accent1"/>
                <w:sz w:val="18"/>
                <w:szCs w:val="18"/>
                <w14:textFill>
                  <w14:solidFill>
                    <w14:schemeClr w14:val="accent1"/>
                  </w14:solidFill>
                </w14:textFill>
              </w:rPr>
            </w:pPr>
          </w:p>
        </w:tc>
        <w:tc>
          <w:tcPr>
            <w:tcW w:w="2394" w:type="dxa"/>
            <w:shd w:val="clear" w:color="auto" w:fill="auto"/>
            <w:vAlign w:val="center"/>
          </w:tcPr>
          <w:p w14:paraId="20AD97E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幼儿园课程</w:t>
            </w:r>
          </w:p>
          <w:p w14:paraId="5349028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幼儿园环境创设</w:t>
            </w:r>
          </w:p>
          <w:p w14:paraId="08E6D72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幼儿行为观察与评价</w:t>
            </w:r>
          </w:p>
          <w:p w14:paraId="5E97F58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幼儿园班级管理</w:t>
            </w:r>
          </w:p>
          <w:p w14:paraId="400C35FF">
            <w:pPr>
              <w:pStyle w:val="2"/>
              <w:pageBreakBefore w:val="0"/>
              <w:kinsoku/>
              <w:wordWrap/>
              <w:overflowPunct/>
              <w:topLinePunct w:val="0"/>
              <w:bidi w:val="0"/>
              <w:spacing w:after="0" w:line="360" w:lineRule="exact"/>
              <w:rPr>
                <w:rFonts w:ascii="宋体" w:hAnsi="宋体" w:cs="宋体"/>
                <w:bCs/>
                <w:sz w:val="18"/>
                <w:szCs w:val="18"/>
              </w:rPr>
            </w:pPr>
            <w:r>
              <w:rPr>
                <w:rFonts w:hint="eastAsia" w:ascii="宋体" w:hAnsi="宋体" w:cs="宋体"/>
                <w:bCs/>
                <w:sz w:val="18"/>
                <w:szCs w:val="18"/>
              </w:rPr>
              <w:t>幼儿园教育活动设计与实施</w:t>
            </w:r>
          </w:p>
          <w:p w14:paraId="240E8AE8">
            <w:pPr>
              <w:pStyle w:val="2"/>
              <w:pageBreakBefore w:val="0"/>
              <w:kinsoku/>
              <w:wordWrap/>
              <w:overflowPunct/>
              <w:topLinePunct w:val="0"/>
              <w:bidi w:val="0"/>
              <w:spacing w:after="0"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幼儿游戏活动指导</w:t>
            </w:r>
          </w:p>
        </w:tc>
      </w:tr>
      <w:tr w14:paraId="2827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vAlign w:val="center"/>
          </w:tcPr>
          <w:p w14:paraId="1F4BC1AC">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69AC5C5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0C900C6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1C8DE88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拓</w:t>
            </w:r>
          </w:p>
          <w:p w14:paraId="7682E2E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展</w:t>
            </w:r>
          </w:p>
          <w:p w14:paraId="0032595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7AD7D89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shd w:val="clear" w:color="auto" w:fill="auto"/>
            <w:vAlign w:val="center"/>
          </w:tcPr>
          <w:p w14:paraId="48BC1C8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（1）初步具有蒙氏教育的教学开发意识与能力；</w:t>
            </w:r>
          </w:p>
          <w:p w14:paraId="1454184D">
            <w:pPr>
              <w:pStyle w:val="20"/>
              <w:pageBreakBefore w:val="0"/>
              <w:kinsoku/>
              <w:wordWrap/>
              <w:overflowPunct/>
              <w:topLinePunct w:val="0"/>
              <w:bidi w:val="0"/>
              <w:spacing w:line="360" w:lineRule="exact"/>
              <w:ind w:firstLine="0" w:firstLineChars="0"/>
              <w:rPr>
                <w:bCs/>
                <w:kern w:val="2"/>
                <w:sz w:val="18"/>
                <w:szCs w:val="18"/>
              </w:rPr>
            </w:pPr>
            <w:r>
              <w:rPr>
                <w:rFonts w:hint="eastAsia"/>
                <w:bCs/>
                <w:kern w:val="2"/>
                <w:sz w:val="18"/>
                <w:szCs w:val="18"/>
              </w:rPr>
              <w:t>（2）具备根据幼儿年龄特征将故事改编成适合给幼儿讲的故事的能力；</w:t>
            </w:r>
          </w:p>
          <w:p w14:paraId="67A6F86B">
            <w:pPr>
              <w:pStyle w:val="20"/>
              <w:pageBreakBefore w:val="0"/>
              <w:kinsoku/>
              <w:wordWrap/>
              <w:overflowPunct/>
              <w:topLinePunct w:val="0"/>
              <w:bidi w:val="0"/>
              <w:spacing w:line="360" w:lineRule="exact"/>
              <w:ind w:firstLine="0" w:firstLineChars="0"/>
              <w:rPr>
                <w:bCs/>
                <w:kern w:val="2"/>
                <w:sz w:val="18"/>
                <w:szCs w:val="18"/>
              </w:rPr>
            </w:pPr>
            <w:r>
              <w:rPr>
                <w:rFonts w:hint="eastAsia"/>
                <w:bCs/>
                <w:kern w:val="2"/>
                <w:sz w:val="18"/>
                <w:szCs w:val="18"/>
              </w:rPr>
              <w:t>（3）学会从幼儿的视角出发构思和设计玩教具，使“做”和“用”有机结合</w:t>
            </w:r>
          </w:p>
          <w:p w14:paraId="2D8BD8F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（4）初步具备独立创设幼儿园教育环境的能力，并且能敏锐地发现、运用各种材料进行艺术创作。</w:t>
            </w:r>
          </w:p>
          <w:p w14:paraId="01ADB574">
            <w:pPr>
              <w:pageBreakBefore w:val="0"/>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p>
          <w:p w14:paraId="4EB1FBDA">
            <w:pPr>
              <w:pageBreakBefore w:val="0"/>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p>
        </w:tc>
        <w:tc>
          <w:tcPr>
            <w:tcW w:w="2394" w:type="dxa"/>
            <w:shd w:val="clear" w:color="auto" w:fill="auto"/>
            <w:vAlign w:val="center"/>
          </w:tcPr>
          <w:p w14:paraId="3B1F4A17">
            <w:pPr>
              <w:pStyle w:val="2"/>
              <w:pageBreakBefore w:val="0"/>
              <w:kinsoku/>
              <w:wordWrap/>
              <w:overflowPunct/>
              <w:topLinePunct w:val="0"/>
              <w:bidi w:val="0"/>
              <w:spacing w:after="0" w:line="360" w:lineRule="exact"/>
              <w:rPr>
                <w:rFonts w:ascii="宋体" w:hAnsi="宋体" w:cs="宋体"/>
                <w:bCs/>
                <w:sz w:val="18"/>
                <w:szCs w:val="18"/>
              </w:rPr>
            </w:pPr>
            <w:bookmarkStart w:id="24" w:name="OLE_LINK9"/>
            <w:r>
              <w:rPr>
                <w:rFonts w:hint="eastAsia" w:ascii="宋体" w:hAnsi="宋体" w:cs="宋体"/>
                <w:bCs/>
                <w:sz w:val="18"/>
                <w:szCs w:val="18"/>
              </w:rPr>
              <w:t>少儿体适能训练与指导</w:t>
            </w:r>
          </w:p>
          <w:p w14:paraId="082EEE30">
            <w:pPr>
              <w:pStyle w:val="2"/>
              <w:pageBreakBefore w:val="0"/>
              <w:kinsoku/>
              <w:wordWrap/>
              <w:overflowPunct/>
              <w:topLinePunct w:val="0"/>
              <w:bidi w:val="0"/>
              <w:spacing w:after="0" w:line="360" w:lineRule="exact"/>
              <w:rPr>
                <w:rFonts w:ascii="宋体" w:hAnsi="宋体" w:cs="宋体"/>
                <w:bCs/>
                <w:sz w:val="18"/>
                <w:szCs w:val="18"/>
              </w:rPr>
            </w:pPr>
            <w:r>
              <w:rPr>
                <w:rFonts w:hint="eastAsia" w:ascii="宋体" w:hAnsi="宋体" w:cs="宋体"/>
                <w:bCs/>
                <w:sz w:val="18"/>
                <w:szCs w:val="18"/>
              </w:rPr>
              <w:t>奥尔夫音乐教</w:t>
            </w:r>
            <w:r>
              <w:rPr>
                <w:rFonts w:ascii="宋体" w:hAnsi="宋体" w:cs="宋体"/>
                <w:bCs/>
                <w:sz w:val="18"/>
                <w:szCs w:val="18"/>
              </w:rPr>
              <w:t>学法</w:t>
            </w:r>
          </w:p>
          <w:p w14:paraId="5BFF13D9">
            <w:pPr>
              <w:pStyle w:val="2"/>
              <w:pageBreakBefore w:val="0"/>
              <w:kinsoku/>
              <w:wordWrap/>
              <w:overflowPunct/>
              <w:topLinePunct w:val="0"/>
              <w:bidi w:val="0"/>
              <w:spacing w:after="0" w:line="360" w:lineRule="exact"/>
              <w:rPr>
                <w:rFonts w:ascii="宋体" w:hAnsi="宋体" w:cs="宋体"/>
                <w:bCs/>
                <w:sz w:val="18"/>
                <w:szCs w:val="18"/>
              </w:rPr>
            </w:pPr>
            <w:r>
              <w:rPr>
                <w:rFonts w:hint="eastAsia" w:ascii="宋体" w:hAnsi="宋体" w:cs="宋体"/>
                <w:bCs/>
                <w:sz w:val="18"/>
                <w:szCs w:val="18"/>
              </w:rPr>
              <w:t>中外学前教育史</w:t>
            </w:r>
          </w:p>
          <w:p w14:paraId="085FC766">
            <w:pPr>
              <w:pStyle w:val="2"/>
              <w:pageBreakBefore w:val="0"/>
              <w:kinsoku/>
              <w:wordWrap/>
              <w:overflowPunct/>
              <w:topLinePunct w:val="0"/>
              <w:bidi w:val="0"/>
              <w:spacing w:after="0" w:line="360" w:lineRule="exact"/>
              <w:rPr>
                <w:rFonts w:ascii="宋体" w:hAnsi="宋体" w:cs="宋体"/>
                <w:bCs/>
                <w:sz w:val="18"/>
                <w:szCs w:val="18"/>
              </w:rPr>
            </w:pPr>
            <w:r>
              <w:rPr>
                <w:rFonts w:hint="eastAsia" w:ascii="宋体" w:hAnsi="宋体" w:cs="宋体"/>
                <w:bCs/>
                <w:sz w:val="18"/>
                <w:szCs w:val="18"/>
              </w:rPr>
              <w:t>儿歌弹唱</w:t>
            </w:r>
          </w:p>
          <w:p w14:paraId="28CF777F">
            <w:pPr>
              <w:pStyle w:val="2"/>
              <w:pageBreakBefore w:val="0"/>
              <w:kinsoku/>
              <w:wordWrap/>
              <w:overflowPunct/>
              <w:topLinePunct w:val="0"/>
              <w:bidi w:val="0"/>
              <w:spacing w:after="0" w:line="360" w:lineRule="exact"/>
              <w:rPr>
                <w:rFonts w:hint="default" w:ascii="宋体" w:hAnsi="宋体" w:cs="宋体"/>
                <w:bCs/>
                <w:sz w:val="18"/>
                <w:szCs w:val="18"/>
                <w:lang w:val="en-US" w:eastAsia="zh-CN"/>
              </w:rPr>
            </w:pPr>
            <w:r>
              <w:rPr>
                <w:rFonts w:hint="eastAsia" w:ascii="宋体" w:hAnsi="宋体" w:cs="宋体"/>
                <w:bCs/>
                <w:sz w:val="18"/>
                <w:szCs w:val="18"/>
              </w:rPr>
              <w:t>幼儿园</w:t>
            </w:r>
            <w:r>
              <w:rPr>
                <w:rFonts w:hint="eastAsia" w:ascii="宋体" w:hAnsi="宋体" w:cs="宋体"/>
                <w:bCs/>
                <w:sz w:val="18"/>
                <w:szCs w:val="18"/>
                <w:lang w:val="en-US" w:eastAsia="zh-CN"/>
              </w:rPr>
              <w:t>玩教具制作</w:t>
            </w:r>
          </w:p>
          <w:p w14:paraId="116ADC6D">
            <w:pPr>
              <w:pStyle w:val="2"/>
              <w:pageBreakBefore w:val="0"/>
              <w:kinsoku/>
              <w:wordWrap/>
              <w:overflowPunct/>
              <w:topLinePunct w:val="0"/>
              <w:bidi w:val="0"/>
              <w:spacing w:after="0" w:line="360" w:lineRule="exact"/>
              <w:rPr>
                <w:rFonts w:ascii="宋体" w:hAnsi="宋体" w:cs="宋体"/>
                <w:bCs/>
                <w:sz w:val="18"/>
                <w:szCs w:val="18"/>
              </w:rPr>
            </w:pPr>
            <w:r>
              <w:rPr>
                <w:rFonts w:hint="eastAsia" w:ascii="宋体" w:hAnsi="宋体" w:cs="宋体"/>
                <w:bCs/>
                <w:sz w:val="18"/>
                <w:szCs w:val="18"/>
              </w:rPr>
              <w:t>儿童文学</w:t>
            </w:r>
          </w:p>
          <w:p w14:paraId="0880157C">
            <w:pPr>
              <w:pStyle w:val="2"/>
              <w:pageBreakBefore w:val="0"/>
              <w:kinsoku/>
              <w:wordWrap/>
              <w:overflowPunct/>
              <w:topLinePunct w:val="0"/>
              <w:bidi w:val="0"/>
              <w:spacing w:after="0" w:line="360" w:lineRule="exact"/>
              <w:rPr>
                <w:rFonts w:ascii="宋体" w:hAnsi="宋体" w:cs="宋体"/>
                <w:bCs/>
                <w:sz w:val="18"/>
                <w:szCs w:val="18"/>
              </w:rPr>
            </w:pPr>
            <w:r>
              <w:rPr>
                <w:rFonts w:ascii="宋体" w:hAnsi="宋体" w:cs="宋体"/>
                <w:bCs/>
                <w:sz w:val="18"/>
                <w:szCs w:val="18"/>
              </w:rPr>
              <w:t>家庭与社区教育</w:t>
            </w:r>
          </w:p>
          <w:p w14:paraId="6CFADD6A">
            <w:pPr>
              <w:pStyle w:val="2"/>
              <w:pageBreakBefore w:val="0"/>
              <w:kinsoku/>
              <w:wordWrap/>
              <w:overflowPunct/>
              <w:topLinePunct w:val="0"/>
              <w:bidi w:val="0"/>
              <w:spacing w:after="0" w:line="360" w:lineRule="exact"/>
              <w:rPr>
                <w:rFonts w:ascii="宋体" w:hAnsi="宋体" w:cs="宋体"/>
                <w:bCs/>
                <w:sz w:val="18"/>
                <w:szCs w:val="18"/>
              </w:rPr>
            </w:pPr>
            <w:r>
              <w:rPr>
                <w:rFonts w:ascii="宋体" w:hAnsi="宋体" w:cs="宋体"/>
                <w:bCs/>
                <w:sz w:val="18"/>
                <w:szCs w:val="18"/>
              </w:rPr>
              <w:t>0-3岁婴幼儿保育与教育</w:t>
            </w:r>
            <w:bookmarkEnd w:id="24"/>
          </w:p>
          <w:p w14:paraId="2B5F28C2">
            <w:pPr>
              <w:pageBreakBefore w:val="0"/>
              <w:kinsoku/>
              <w:wordWrap/>
              <w:overflowPunct/>
              <w:topLinePunct w:val="0"/>
              <w:bidi w:val="0"/>
              <w:spacing w:line="360" w:lineRule="exact"/>
              <w:rPr>
                <w:rFonts w:hint="eastAsia" w:ascii="宋体" w:hAnsi="宋体" w:cs="宋体"/>
                <w:bCs/>
                <w:sz w:val="18"/>
                <w:szCs w:val="18"/>
                <w:lang w:val="en-US" w:eastAsia="zh-CN"/>
              </w:rPr>
            </w:pPr>
            <w:r>
              <w:rPr>
                <w:rFonts w:hint="eastAsia" w:ascii="宋体" w:hAnsi="宋体" w:cs="宋体"/>
                <w:bCs/>
                <w:sz w:val="18"/>
                <w:szCs w:val="18"/>
                <w:lang w:val="en-US" w:eastAsia="zh-CN"/>
              </w:rPr>
              <w:t>学前教育政策法规</w:t>
            </w:r>
          </w:p>
          <w:p w14:paraId="54F706CE">
            <w:pPr>
              <w:pStyle w:val="2"/>
              <w:pageBreakBefore w:val="0"/>
              <w:kinsoku/>
              <w:wordWrap/>
              <w:overflowPunct/>
              <w:topLinePunct w:val="0"/>
              <w:bidi w:val="0"/>
              <w:spacing w:after="0" w:line="360" w:lineRule="exact"/>
              <w:rPr>
                <w:rFonts w:ascii="宋体" w:hAnsi="宋体" w:cs="宋体"/>
                <w:bCs/>
                <w:sz w:val="18"/>
                <w:szCs w:val="18"/>
              </w:rPr>
            </w:pPr>
            <w:r>
              <w:rPr>
                <w:rFonts w:hint="eastAsia" w:ascii="宋体" w:hAnsi="宋体" w:cs="宋体"/>
                <w:bCs/>
                <w:sz w:val="18"/>
                <w:szCs w:val="18"/>
                <w:lang w:val="en-US" w:eastAsia="zh-CN"/>
              </w:rPr>
              <w:t>学前儿童融合教育</w:t>
            </w:r>
          </w:p>
        </w:tc>
      </w:tr>
      <w:tr w14:paraId="6F0F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52860E5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64993B4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p w14:paraId="412414C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7B449FB8">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 w:val="18"/>
                <w:szCs w:val="18"/>
              </w:rPr>
              <w:t>构</w:t>
            </w:r>
          </w:p>
        </w:tc>
        <w:tc>
          <w:tcPr>
            <w:tcW w:w="704" w:type="dxa"/>
            <w:vAlign w:val="center"/>
          </w:tcPr>
          <w:p w14:paraId="0D427A5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思</w:t>
            </w:r>
          </w:p>
          <w:p w14:paraId="67A8212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想</w:t>
            </w:r>
          </w:p>
          <w:p w14:paraId="5A5C166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政</w:t>
            </w:r>
          </w:p>
          <w:p w14:paraId="6D49CB3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治</w:t>
            </w:r>
          </w:p>
          <w:p w14:paraId="4E82CC1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037F67E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shd w:val="clear" w:color="auto" w:fill="auto"/>
            <w:vAlign w:val="center"/>
          </w:tcPr>
          <w:p w14:paraId="1632E3A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（1）具有深厚的爱国情感、国家认同感、中华民族自豪感；</w:t>
            </w:r>
          </w:p>
          <w:p w14:paraId="17EBBD5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（2）热爱社会主义，坚决拥护中国共产党的领导，树立中国特色社会主义共同理想，践行社会主义核心价值观；</w:t>
            </w:r>
          </w:p>
          <w:p w14:paraId="3E35208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（3）崇尚宪法、遵守法律、遵规守纪，具有社会责任感和参与意识；</w:t>
            </w:r>
          </w:p>
          <w:p w14:paraId="29261370">
            <w:pPr>
              <w:pageBreakBefore w:val="0"/>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（4）树立正确的世界观、人生观、价值观。</w:t>
            </w:r>
          </w:p>
        </w:tc>
        <w:tc>
          <w:tcPr>
            <w:tcW w:w="2394" w:type="dxa"/>
            <w:shd w:val="clear" w:color="auto" w:fill="auto"/>
            <w:vAlign w:val="center"/>
          </w:tcPr>
          <w:p w14:paraId="60583C05">
            <w:pPr>
              <w:pStyle w:val="6"/>
              <w:keepNext w:val="0"/>
              <w:keepLines w:val="0"/>
              <w:pageBreakBefore w:val="0"/>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形势与政策</w:t>
            </w:r>
          </w:p>
          <w:p w14:paraId="68174633">
            <w:pPr>
              <w:pStyle w:val="6"/>
              <w:keepNext w:val="0"/>
              <w:keepLines w:val="0"/>
              <w:pageBreakBefore w:val="0"/>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思想道德与法治</w:t>
            </w:r>
          </w:p>
          <w:p w14:paraId="07AA809B">
            <w:pPr>
              <w:pStyle w:val="6"/>
              <w:keepNext w:val="0"/>
              <w:keepLines w:val="0"/>
              <w:pageBreakBefore w:val="0"/>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军事理论</w:t>
            </w:r>
          </w:p>
          <w:p w14:paraId="1B4B7985">
            <w:pPr>
              <w:pStyle w:val="6"/>
              <w:keepNext w:val="0"/>
              <w:keepLines w:val="0"/>
              <w:pageBreakBefore w:val="0"/>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军事技能训练及入学教育</w:t>
            </w:r>
          </w:p>
          <w:p w14:paraId="452ACF18">
            <w:pPr>
              <w:pStyle w:val="6"/>
              <w:keepNext w:val="0"/>
              <w:keepLines w:val="0"/>
              <w:pageBreakBefore w:val="0"/>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国家安全教育</w:t>
            </w:r>
          </w:p>
          <w:p w14:paraId="6B9E54A8">
            <w:pPr>
              <w:pStyle w:val="6"/>
              <w:keepNext w:val="0"/>
              <w:keepLines w:val="0"/>
              <w:pageBreakBefore w:val="0"/>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毛泽东思想和中国特色社会主义理论体系概论</w:t>
            </w:r>
          </w:p>
          <w:p w14:paraId="52AAFCA8">
            <w:pPr>
              <w:pStyle w:val="6"/>
              <w:keepNext w:val="0"/>
              <w:keepLines w:val="0"/>
              <w:pageBreakBefore w:val="0"/>
              <w:kinsoku/>
              <w:wordWrap/>
              <w:overflowPunct/>
              <w:topLinePunct w:val="0"/>
              <w:bidi w:val="0"/>
              <w:spacing w:line="360" w:lineRule="exact"/>
              <w:outlineLvl w:val="3"/>
            </w:pPr>
            <w:r>
              <w:rPr>
                <w:rFonts w:hint="eastAsia" w:ascii="宋体" w:hAnsi="宋体" w:cs="宋体"/>
                <w:b w:val="0"/>
                <w:color w:val="auto"/>
                <w:sz w:val="18"/>
                <w:szCs w:val="18"/>
              </w:rPr>
              <w:t>习近平新时代中国特色社会主义思想概论</w:t>
            </w:r>
          </w:p>
        </w:tc>
      </w:tr>
      <w:tr w14:paraId="791F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023C4DAE">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7A89F93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69FAAF0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366D8F5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27C469A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shd w:val="clear" w:color="auto" w:fill="auto"/>
            <w:vAlign w:val="center"/>
          </w:tcPr>
          <w:p w14:paraId="7786342F">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（1）爱岗敬业，遵规守纪，自律进取，勇于创新；</w:t>
            </w:r>
          </w:p>
          <w:p w14:paraId="1003E738">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（2）具有明确的社会责任感和强烈的事业心；</w:t>
            </w:r>
          </w:p>
          <w:p w14:paraId="6C5D791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（3）具有良好的思想品德、社会公德和职业道德；</w:t>
            </w:r>
          </w:p>
          <w:p w14:paraId="5C540798">
            <w:pPr>
              <w:pageBreakBefore w:val="0"/>
              <w:kinsoku/>
              <w:wordWrap/>
              <w:overflowPunct/>
              <w:topLinePunct w:val="0"/>
              <w:bidi w:val="0"/>
              <w:spacing w:line="360" w:lineRule="exact"/>
              <w:rPr>
                <w:rFonts w:ascii="宋体" w:hAnsi="宋体" w:cs="宋体"/>
                <w:color w:val="4874CB" w:themeColor="accent1"/>
                <w:sz w:val="18"/>
                <w:szCs w:val="18"/>
                <w14:textFill>
                  <w14:solidFill>
                    <w14:schemeClr w14:val="accent1"/>
                  </w14:solidFill>
                </w14:textFill>
              </w:rPr>
            </w:pPr>
            <w:r>
              <w:rPr>
                <w:rFonts w:hint="eastAsia" w:ascii="宋体" w:hAnsi="宋体" w:cs="宋体"/>
                <w:bCs/>
                <w:sz w:val="18"/>
                <w:szCs w:val="18"/>
              </w:rPr>
              <w:t>（4）具有求实创新的科学精神、刻苦钻研的实干精神、团结协作的团队精神。</w:t>
            </w:r>
          </w:p>
        </w:tc>
        <w:tc>
          <w:tcPr>
            <w:tcW w:w="2394" w:type="dxa"/>
            <w:shd w:val="clear" w:color="auto" w:fill="auto"/>
            <w:vAlign w:val="center"/>
          </w:tcPr>
          <w:p w14:paraId="40DA0AD2">
            <w:pPr>
              <w:pStyle w:val="6"/>
              <w:keepNext w:val="0"/>
              <w:keepLines w:val="0"/>
              <w:pageBreakBefore w:val="0"/>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大学生心理健康教育</w:t>
            </w:r>
          </w:p>
          <w:p w14:paraId="1C6CADD8">
            <w:pPr>
              <w:pStyle w:val="6"/>
              <w:keepNext w:val="0"/>
              <w:keepLines w:val="0"/>
              <w:pageBreakBefore w:val="0"/>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思想道德与法治</w:t>
            </w:r>
          </w:p>
          <w:p w14:paraId="5C365839">
            <w:pPr>
              <w:pStyle w:val="6"/>
              <w:keepNext w:val="0"/>
              <w:keepLines w:val="0"/>
              <w:pageBreakBefore w:val="0"/>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劳动教育与实践</w:t>
            </w:r>
          </w:p>
          <w:p w14:paraId="50D248E9">
            <w:pPr>
              <w:pStyle w:val="6"/>
              <w:keepNext w:val="0"/>
              <w:keepLines w:val="0"/>
              <w:pageBreakBefore w:val="0"/>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职业发展与就业指导</w:t>
            </w:r>
          </w:p>
          <w:p w14:paraId="36C2D795">
            <w:pPr>
              <w:pStyle w:val="6"/>
              <w:keepNext w:val="0"/>
              <w:keepLines w:val="0"/>
              <w:pageBreakBefore w:val="0"/>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信息技术</w:t>
            </w:r>
          </w:p>
          <w:p w14:paraId="61C31B36">
            <w:pPr>
              <w:pStyle w:val="6"/>
              <w:keepNext w:val="0"/>
              <w:keepLines w:val="0"/>
              <w:pageBreakBefore w:val="0"/>
              <w:kinsoku/>
              <w:wordWrap/>
              <w:overflowPunct/>
              <w:topLinePunct w:val="0"/>
              <w:bidi w:val="0"/>
              <w:spacing w:line="360" w:lineRule="exact"/>
              <w:outlineLvl w:val="3"/>
            </w:pPr>
            <w:r>
              <w:rPr>
                <w:rFonts w:hint="eastAsia" w:ascii="宋体" w:hAnsi="宋体" w:cs="宋体"/>
                <w:b w:val="0"/>
                <w:color w:val="auto"/>
                <w:sz w:val="18"/>
                <w:szCs w:val="18"/>
              </w:rPr>
              <w:t>人工智能与应用</w:t>
            </w:r>
          </w:p>
        </w:tc>
      </w:tr>
      <w:tr w14:paraId="68A6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214FA1CC">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047BC48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人</w:t>
            </w:r>
          </w:p>
          <w:p w14:paraId="02BD9CF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文</w:t>
            </w:r>
          </w:p>
          <w:p w14:paraId="796B131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147C7BE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shd w:val="clear" w:color="auto" w:fill="auto"/>
            <w:vAlign w:val="center"/>
          </w:tcPr>
          <w:p w14:paraId="69D68AC2">
            <w:pPr>
              <w:pStyle w:val="6"/>
              <w:keepNext w:val="0"/>
              <w:keepLines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（1）具有良好的文化修养；</w:t>
            </w:r>
          </w:p>
          <w:p w14:paraId="2AAEE8AD">
            <w:pPr>
              <w:pStyle w:val="6"/>
              <w:keepNext w:val="0"/>
              <w:keepLines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（2）具有感受美、表现美、鉴赏美、创造美的能力，具有一定的审美和人文素养；</w:t>
            </w:r>
          </w:p>
          <w:p w14:paraId="43D92427">
            <w:pPr>
              <w:pStyle w:val="6"/>
              <w:keepNext w:val="0"/>
              <w:keepLines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（3）能够形成一两项艺术特长或爱好。</w:t>
            </w:r>
          </w:p>
          <w:p w14:paraId="520D636B">
            <w:pPr>
              <w:pStyle w:val="6"/>
              <w:keepNext w:val="0"/>
              <w:keepLines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（4）具有较强的自学能力、创新意识和一定的社会活动能力。</w:t>
            </w:r>
          </w:p>
        </w:tc>
        <w:tc>
          <w:tcPr>
            <w:tcW w:w="2394" w:type="dxa"/>
            <w:shd w:val="clear" w:color="auto" w:fill="auto"/>
            <w:vAlign w:val="center"/>
          </w:tcPr>
          <w:p w14:paraId="04921A19">
            <w:pPr>
              <w:pStyle w:val="6"/>
              <w:keepNext w:val="0"/>
              <w:keepLines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中华优秀传统文化</w:t>
            </w:r>
          </w:p>
          <w:p w14:paraId="10B6DE29">
            <w:pPr>
              <w:pStyle w:val="6"/>
              <w:keepNext w:val="0"/>
              <w:keepLines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社会实践</w:t>
            </w:r>
          </w:p>
          <w:p w14:paraId="297C37BF">
            <w:pPr>
              <w:pStyle w:val="6"/>
              <w:keepNext w:val="0"/>
              <w:keepLines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美育课程</w:t>
            </w:r>
          </w:p>
          <w:p w14:paraId="37DA2A11">
            <w:pPr>
              <w:pStyle w:val="6"/>
              <w:keepNext w:val="0"/>
              <w:keepLines w:val="0"/>
              <w:pageBreakBefore w:val="0"/>
              <w:kinsoku/>
              <w:wordWrap/>
              <w:overflowPunct/>
              <w:topLinePunct w:val="0"/>
              <w:bidi w:val="0"/>
              <w:spacing w:line="360" w:lineRule="exact"/>
              <w:outlineLvl w:val="3"/>
              <w:rPr>
                <w:rFonts w:ascii="宋体" w:hAnsi="宋体" w:cs="宋体"/>
                <w:b w:val="0"/>
                <w:color w:val="4874CB" w:themeColor="accent1"/>
                <w:sz w:val="18"/>
                <w:szCs w:val="18"/>
                <w14:textFill>
                  <w14:solidFill>
                    <w14:schemeClr w14:val="accent1"/>
                  </w14:solidFill>
                </w14:textFill>
              </w:rPr>
            </w:pPr>
            <w:r>
              <w:rPr>
                <w:rFonts w:hint="eastAsia" w:ascii="宋体" w:hAnsi="宋体" w:cs="宋体"/>
                <w:b w:val="0"/>
                <w:color w:val="auto"/>
                <w:sz w:val="18"/>
                <w:szCs w:val="18"/>
              </w:rPr>
              <w:t>专业教育</w:t>
            </w:r>
          </w:p>
        </w:tc>
      </w:tr>
      <w:tr w14:paraId="2277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79917792">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063CAD3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身</w:t>
            </w:r>
          </w:p>
          <w:p w14:paraId="277F8F9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26F2173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196A6CB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shd w:val="clear" w:color="auto" w:fill="auto"/>
            <w:vAlign w:val="center"/>
          </w:tcPr>
          <w:p w14:paraId="330C4FB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（1）具有健康的体魄和心理、健全的人格，能够掌握基本运动知识和一两项运动技能</w:t>
            </w:r>
          </w:p>
          <w:p w14:paraId="16B5DEBE">
            <w:pPr>
              <w:pageBreakBefore w:val="0"/>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（2）具有坚强的意志和乐观向上的精神风貌。</w:t>
            </w:r>
          </w:p>
        </w:tc>
        <w:tc>
          <w:tcPr>
            <w:tcW w:w="2394" w:type="dxa"/>
            <w:shd w:val="clear" w:color="auto" w:fill="auto"/>
            <w:vAlign w:val="center"/>
          </w:tcPr>
          <w:p w14:paraId="76BF86C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大学体育</w:t>
            </w:r>
          </w:p>
          <w:p w14:paraId="2679387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大学生心理健康指导</w:t>
            </w:r>
          </w:p>
          <w:p w14:paraId="26F76FF0">
            <w:pPr>
              <w:pageBreakBefore w:val="0"/>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劳动教育与实践</w:t>
            </w:r>
          </w:p>
        </w:tc>
      </w:tr>
    </w:tbl>
    <w:p w14:paraId="63B73D14">
      <w:pPr>
        <w:pStyle w:val="3"/>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六、课程设置及要求</w:t>
      </w:r>
    </w:p>
    <w:p w14:paraId="483C26DE">
      <w:pPr>
        <w:pageBreakBefore w:val="0"/>
        <w:kinsoku/>
        <w:wordWrap/>
        <w:overflowPunct/>
        <w:topLinePunct w:val="0"/>
        <w:bidi w:val="0"/>
        <w:spacing w:line="360" w:lineRule="exact"/>
        <w:ind w:firstLine="422" w:firstLineChars="200"/>
        <w:rPr>
          <w:rFonts w:ascii="宋体" w:hAnsi="宋体"/>
          <w:b/>
          <w:szCs w:val="21"/>
        </w:rPr>
      </w:pPr>
      <w:r>
        <w:rPr>
          <w:rFonts w:hint="eastAsia" w:ascii="宋体" w:hAnsi="宋体" w:cs="宋体"/>
          <w:b/>
          <w:szCs w:val="21"/>
        </w:rPr>
        <w:t>（一）公共基础课程</w:t>
      </w:r>
    </w:p>
    <w:tbl>
      <w:tblPr>
        <w:tblStyle w:val="15"/>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5E39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E2D398B">
            <w:pPr>
              <w:keepLines/>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778" w:type="dxa"/>
            <w:vAlign w:val="center"/>
          </w:tcPr>
          <w:p w14:paraId="6CFB0F27">
            <w:pPr>
              <w:keepLines/>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778" w:type="dxa"/>
            <w:vAlign w:val="center"/>
          </w:tcPr>
          <w:p w14:paraId="735CDB40">
            <w:pPr>
              <w:keepLines/>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778" w:type="dxa"/>
            <w:vAlign w:val="center"/>
          </w:tcPr>
          <w:p w14:paraId="5DC70356">
            <w:pPr>
              <w:keepLines/>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2C56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1F492A6">
            <w:pPr>
              <w:keepLines/>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08EE153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66ECF2F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50BC67C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6F152B49">
            <w:pPr>
              <w:keepLines/>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0D65807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57681DE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5101212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7B6528C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3249526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6BCC220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46A48C4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333BC1A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76D72A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558A323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747E16C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2C60157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4CFC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F7A6402">
            <w:pPr>
              <w:pStyle w:val="6"/>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086E9746">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4D2DEB01">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5AF2206B">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1A8F3B69">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108A80E7">
            <w:pPr>
              <w:keepLines/>
              <w:pageBreakBefore w:val="0"/>
              <w:kinsoku/>
              <w:wordWrap/>
              <w:overflowPunct/>
              <w:topLinePunct w:val="0"/>
              <w:bidi w:val="0"/>
              <w:spacing w:line="360" w:lineRule="exact"/>
              <w:ind w:firstLine="360" w:firstLineChars="200"/>
              <w:rPr>
                <w:rFonts w:ascii="宋体" w:hAnsi="宋体" w:cs="宋体"/>
                <w:bCs/>
                <w:sz w:val="18"/>
                <w:szCs w:val="18"/>
              </w:rPr>
            </w:pPr>
          </w:p>
        </w:tc>
        <w:tc>
          <w:tcPr>
            <w:tcW w:w="2778" w:type="dxa"/>
          </w:tcPr>
          <w:p w14:paraId="5B03960F">
            <w:pPr>
              <w:pStyle w:val="6"/>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178D0BE4">
            <w:pPr>
              <w:pStyle w:val="6"/>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1926F245">
            <w:pPr>
              <w:pStyle w:val="6"/>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1AC1C78D">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57E9A1D0">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14EDD0E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4A40996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21A8CD0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14F0DB2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65598A4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6A30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11CD998">
            <w:pPr>
              <w:pStyle w:val="6"/>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p w14:paraId="7C4BEE36">
            <w:pPr>
              <w:pStyle w:val="6"/>
              <w:keepNext w:val="0"/>
              <w:pageBreakBefore w:val="0"/>
              <w:kinsoku/>
              <w:wordWrap/>
              <w:overflowPunct/>
              <w:topLinePunct w:val="0"/>
              <w:bidi w:val="0"/>
              <w:spacing w:line="360" w:lineRule="exact"/>
              <w:jc w:val="center"/>
              <w:outlineLvl w:val="3"/>
              <w:rPr>
                <w:rFonts w:ascii="宋体" w:hAnsi="宋体" w:cs="宋体"/>
                <w:b w:val="0"/>
                <w:bCs/>
                <w:color w:val="auto"/>
                <w:sz w:val="18"/>
                <w:szCs w:val="18"/>
              </w:rPr>
            </w:pPr>
          </w:p>
        </w:tc>
        <w:tc>
          <w:tcPr>
            <w:tcW w:w="2778" w:type="dxa"/>
          </w:tcPr>
          <w:p w14:paraId="0A8E120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6D325FE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7C9BEB9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765FB4E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59F3A8B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280BF5D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7B5BD30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52EDFA3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（3）坚持党的全面领导。</w:t>
            </w:r>
          </w:p>
          <w:p w14:paraId="62B36ED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（4）坚持以人民为中心。</w:t>
            </w:r>
          </w:p>
          <w:p w14:paraId="26FE71A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（5）全面深化改革</w:t>
            </w:r>
          </w:p>
          <w:p w14:paraId="07254A1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5915938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（5）全面依法治国。</w:t>
            </w:r>
          </w:p>
          <w:p w14:paraId="640BE03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（6）维护和塑造国家安全。</w:t>
            </w:r>
          </w:p>
          <w:p w14:paraId="5000675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357F9EE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4A5F156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p w14:paraId="1B701D49">
            <w:pPr>
              <w:keepLines/>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0413466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A3B2CB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72CE2B5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5D35F32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7CC4A5B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4BF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B6823BD">
            <w:pPr>
              <w:pStyle w:val="6"/>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tc>
        <w:tc>
          <w:tcPr>
            <w:tcW w:w="2778" w:type="dxa"/>
          </w:tcPr>
          <w:p w14:paraId="0F6C96B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1BE93C6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38C182F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009C22B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374BEDD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085FF6D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0D4E07C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C79E11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5BC6206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1FEA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1C004E0">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sz w:val="18"/>
                <w:szCs w:val="18"/>
              </w:rPr>
              <w:t>大学体育</w:t>
            </w:r>
          </w:p>
        </w:tc>
        <w:tc>
          <w:tcPr>
            <w:tcW w:w="2778" w:type="dxa"/>
          </w:tcPr>
          <w:p w14:paraId="24A27EB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4A57AA1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3298C39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3DFA52F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0E3ED2B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（5）遵守体育道德规范和行为准则，发扬体育精神，塑造良好的体育品格，增强责任意识、规则意识和团队意识，正确处理竞争与合作的关系。</w:t>
            </w:r>
          </w:p>
        </w:tc>
        <w:tc>
          <w:tcPr>
            <w:tcW w:w="2778" w:type="dxa"/>
          </w:tcPr>
          <w:p w14:paraId="758E8EC1">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697B807F">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4843907D">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167EEA86">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4746AA93">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p w14:paraId="03FDF211">
            <w:pPr>
              <w:pStyle w:val="7"/>
              <w:keepLines/>
              <w:pageBreakBefore w:val="0"/>
              <w:kinsoku/>
              <w:wordWrap/>
              <w:overflowPunct/>
              <w:topLinePunct w:val="0"/>
              <w:bidi w:val="0"/>
              <w:spacing w:line="360" w:lineRule="exact"/>
              <w:jc w:val="both"/>
              <w:rPr>
                <w:rFonts w:ascii="宋体" w:hAnsi="宋体" w:cs="宋体"/>
                <w:bCs/>
                <w:sz w:val="18"/>
                <w:szCs w:val="18"/>
              </w:rPr>
            </w:pPr>
          </w:p>
          <w:p w14:paraId="72256F6E">
            <w:pPr>
              <w:pStyle w:val="7"/>
              <w:keepLines/>
              <w:pageBreakBefore w:val="0"/>
              <w:kinsoku/>
              <w:wordWrap/>
              <w:overflowPunct/>
              <w:topLinePunct w:val="0"/>
              <w:bidi w:val="0"/>
              <w:spacing w:line="360" w:lineRule="exact"/>
              <w:jc w:val="both"/>
              <w:rPr>
                <w:rFonts w:ascii="宋体" w:hAnsi="宋体" w:cs="宋体"/>
                <w:bCs/>
                <w:sz w:val="18"/>
                <w:szCs w:val="18"/>
              </w:rPr>
            </w:pPr>
          </w:p>
        </w:tc>
        <w:tc>
          <w:tcPr>
            <w:tcW w:w="2778" w:type="dxa"/>
          </w:tcPr>
          <w:p w14:paraId="753A8F30">
            <w:pPr>
              <w:pStyle w:val="6"/>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6D5D9535">
            <w:pPr>
              <w:pStyle w:val="6"/>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2BFA6D0C">
            <w:pPr>
              <w:pStyle w:val="6"/>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48EE6E1C">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4CCA1F11">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63A64647">
            <w:pPr>
              <w:keepLines/>
              <w:pageBreakBefore w:val="0"/>
              <w:kinsoku/>
              <w:wordWrap/>
              <w:overflowPunct/>
              <w:topLinePunct w:val="0"/>
              <w:bidi w:val="0"/>
              <w:spacing w:line="360" w:lineRule="exact"/>
              <w:rPr>
                <w:rFonts w:ascii="宋体" w:hAnsi="宋体" w:cs="宋体"/>
                <w:bCs/>
                <w:sz w:val="18"/>
                <w:szCs w:val="18"/>
              </w:rPr>
            </w:pPr>
          </w:p>
          <w:p w14:paraId="6B02E7B3">
            <w:pPr>
              <w:keepLines/>
              <w:pageBreakBefore w:val="0"/>
              <w:kinsoku/>
              <w:wordWrap/>
              <w:overflowPunct/>
              <w:topLinePunct w:val="0"/>
              <w:bidi w:val="0"/>
              <w:spacing w:line="360" w:lineRule="exact"/>
              <w:rPr>
                <w:rFonts w:ascii="宋体" w:hAnsi="宋体" w:cs="宋体"/>
                <w:b/>
                <w:bCs/>
                <w:sz w:val="18"/>
                <w:szCs w:val="18"/>
              </w:rPr>
            </w:pPr>
          </w:p>
        </w:tc>
      </w:tr>
      <w:tr w14:paraId="602E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13F0304">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军事理论</w:t>
            </w:r>
          </w:p>
        </w:tc>
        <w:tc>
          <w:tcPr>
            <w:tcW w:w="2778" w:type="dxa"/>
          </w:tcPr>
          <w:p w14:paraId="5934BF2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3473A49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38A00F8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1DE2935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483E9DE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17EC3FE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6210FD7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3C0642C9">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6C68E99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43D8A3D3">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0FA9F725">
            <w:pPr>
              <w:pStyle w:val="6"/>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418D07D0">
            <w:pPr>
              <w:pStyle w:val="6"/>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5BDF7056">
            <w:pPr>
              <w:pStyle w:val="6"/>
              <w:keepNext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1A22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880FC60">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劳动教育与实践</w:t>
            </w:r>
          </w:p>
        </w:tc>
        <w:tc>
          <w:tcPr>
            <w:tcW w:w="2778" w:type="dxa"/>
          </w:tcPr>
          <w:p w14:paraId="2DF2760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6AF22CB1">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2A15BF9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4D8ACA6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4A5801D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639EE2FC">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365E7CE4">
            <w:pPr>
              <w:pStyle w:val="7"/>
              <w:keepLines/>
              <w:pageBreakBefore w:val="0"/>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70FBB8A3">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650380D1">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09782CBB">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3E882EC4">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43D0FE53">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72CC2483">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14BE438D">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3EFAD6C8">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36F7419F">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51CD0422">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3631E91E">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387F4900">
            <w:pPr>
              <w:pStyle w:val="7"/>
              <w:keepLines/>
              <w:pageBreakBefore w:val="0"/>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423B8AC0">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0C4CBB4F">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40CC50BE">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722138FC">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1E6CC2ED">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382CF929">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5E43755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5987B6B3">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3D16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C7FE4EF">
            <w:pPr>
              <w:keepLines/>
              <w:pageBreakBefore w:val="0"/>
              <w:kinsoku/>
              <w:wordWrap/>
              <w:overflowPunct/>
              <w:topLinePunct w:val="0"/>
              <w:bidi w:val="0"/>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647DAF69">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6D10CDDD">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2D572C2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7F13148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3CECA820">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6A440CC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5B7AB16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68834C10">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76D10FD9">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7C500DC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57B6346E">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6B66AF5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0BAD26C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2698184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29206A7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60E204AB">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77EED31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399F990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20C72AE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0337A8B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199F241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4B390EF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22E51CCF">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2DA48960">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3F6CAB2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072E39D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1BD30DA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0086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2CD7FAB">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职业发展与就业指导</w:t>
            </w:r>
          </w:p>
        </w:tc>
        <w:tc>
          <w:tcPr>
            <w:tcW w:w="2778" w:type="dxa"/>
          </w:tcPr>
          <w:p w14:paraId="6D1913D0">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（1）了解高职教育的特点、目标及其意义，明确职业分类与特征。</w:t>
            </w:r>
          </w:p>
          <w:p w14:paraId="0153BFFA">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（2）理解职业生涯及发展的相关理论知识，熟悉职业生涯规划的要素及程序。</w:t>
            </w:r>
          </w:p>
          <w:p w14:paraId="3FD6CE4D">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（3）清楚就业形势与政策、法规和职业规范，了解毕业生就业权益，掌握就业方法和技巧。</w:t>
            </w:r>
          </w:p>
          <w:p w14:paraId="372A869E">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（4）掌握基本的劳动力市场信息、相关的职业分类知识。</w:t>
            </w:r>
          </w:p>
          <w:p w14:paraId="324EAA89">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（5）具有对自我和环境的分析评价能力。</w:t>
            </w:r>
          </w:p>
          <w:p w14:paraId="259C447C">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（6）具备信息搜索与管理技能、生涯决策技能、求职技能等。</w:t>
            </w:r>
          </w:p>
          <w:p w14:paraId="10BCF667">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（7）具备与他人有效沟通与合作能力。</w:t>
            </w:r>
          </w:p>
          <w:p w14:paraId="690F6637">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（8）能够搜集、分析、选择就业信息，制定职业生涯规划。</w:t>
            </w:r>
          </w:p>
          <w:p w14:paraId="7E4CB924">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（9）能应用求职简历、求职信、面试技巧等方法进行自我推荐。</w:t>
            </w:r>
          </w:p>
          <w:p w14:paraId="5F16D33B">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（10）建立职业生涯发展的自主意识和爱岗敬业、吃苦耐劳、开拓创新的精神，树立积极正确职业态度和就业观念。</w:t>
            </w:r>
          </w:p>
          <w:p w14:paraId="0059501B">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（11）能自觉为个人生涯发展做出积极的努力，积极投身国家建设事业，为国家发展贡献力量。</w:t>
            </w:r>
          </w:p>
          <w:p w14:paraId="6139F7AE">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sz w:val="18"/>
                <w:szCs w:val="18"/>
              </w:rPr>
              <w:t>（12）了解国家出台的促进学生就业的政策，将自身职业发展与国家发展、时代需要结合起来。</w:t>
            </w:r>
          </w:p>
        </w:tc>
        <w:tc>
          <w:tcPr>
            <w:tcW w:w="2778" w:type="dxa"/>
          </w:tcPr>
          <w:p w14:paraId="78522123">
            <w:pPr>
              <w:pageBreakBefore w:val="0"/>
              <w:widowControl/>
              <w:kinsoku/>
              <w:wordWrap/>
              <w:overflowPunct/>
              <w:topLinePunct w:val="0"/>
              <w:bidi w:val="0"/>
              <w:spacing w:line="360" w:lineRule="exact"/>
              <w:rPr>
                <w:rFonts w:ascii="宋体" w:hAnsi="宋体" w:cs="宋体"/>
                <w:kern w:val="0"/>
                <w:sz w:val="18"/>
                <w:szCs w:val="18"/>
              </w:rPr>
            </w:pPr>
            <w:r>
              <w:rPr>
                <w:rFonts w:hint="eastAsia" w:ascii="宋体" w:hAnsi="宋体" w:cs="宋体"/>
                <w:kern w:val="0"/>
                <w:sz w:val="18"/>
                <w:szCs w:val="18"/>
              </w:rPr>
              <w:t>模块一 认识大学生就业</w:t>
            </w:r>
          </w:p>
          <w:p w14:paraId="6A37FD69">
            <w:pPr>
              <w:pageBreakBefore w:val="0"/>
              <w:widowControl/>
              <w:kinsoku/>
              <w:wordWrap/>
              <w:overflowPunct/>
              <w:topLinePunct w:val="0"/>
              <w:bidi w:val="0"/>
              <w:spacing w:line="360" w:lineRule="exact"/>
              <w:ind w:firstLine="360" w:firstLineChars="200"/>
              <w:rPr>
                <w:rFonts w:ascii="宋体" w:hAnsi="宋体" w:cs="宋体"/>
                <w:kern w:val="0"/>
                <w:sz w:val="18"/>
                <w:szCs w:val="18"/>
              </w:rPr>
            </w:pPr>
            <w:r>
              <w:rPr>
                <w:rFonts w:hint="eastAsia" w:ascii="宋体" w:hAnsi="宋体" w:cs="宋体"/>
                <w:kern w:val="0"/>
                <w:sz w:val="18"/>
                <w:szCs w:val="18"/>
              </w:rPr>
              <w:t>通过就业指导，熟悉就业制度与政策。</w:t>
            </w:r>
          </w:p>
          <w:p w14:paraId="68A29866">
            <w:pPr>
              <w:pageBreakBefore w:val="0"/>
              <w:widowControl/>
              <w:kinsoku/>
              <w:wordWrap/>
              <w:overflowPunct/>
              <w:topLinePunct w:val="0"/>
              <w:bidi w:val="0"/>
              <w:spacing w:line="360" w:lineRule="exact"/>
              <w:rPr>
                <w:rFonts w:ascii="宋体" w:hAnsi="宋体" w:cs="宋体"/>
                <w:kern w:val="0"/>
                <w:sz w:val="18"/>
                <w:szCs w:val="18"/>
              </w:rPr>
            </w:pPr>
            <w:r>
              <w:rPr>
                <w:rFonts w:hint="eastAsia" w:ascii="宋体" w:hAnsi="宋体" w:cs="宋体"/>
                <w:kern w:val="0"/>
                <w:sz w:val="18"/>
                <w:szCs w:val="18"/>
              </w:rPr>
              <w:t>模块二 规划职业生涯</w:t>
            </w:r>
          </w:p>
          <w:p w14:paraId="4D1C4C24">
            <w:pPr>
              <w:pageBreakBefore w:val="0"/>
              <w:widowControl/>
              <w:kinsoku/>
              <w:wordWrap/>
              <w:overflowPunct/>
              <w:topLinePunct w:val="0"/>
              <w:bidi w:val="0"/>
              <w:spacing w:line="360" w:lineRule="exact"/>
              <w:ind w:firstLine="420"/>
              <w:rPr>
                <w:rFonts w:ascii="宋体" w:hAnsi="宋体" w:cs="宋体"/>
                <w:kern w:val="0"/>
                <w:sz w:val="18"/>
                <w:szCs w:val="18"/>
              </w:rPr>
            </w:pPr>
            <w:r>
              <w:rPr>
                <w:rFonts w:hint="eastAsia" w:ascii="宋体" w:hAnsi="宋体" w:cs="宋体"/>
                <w:kern w:val="0"/>
                <w:sz w:val="18"/>
                <w:szCs w:val="18"/>
              </w:rPr>
              <w:t>掌握职业生涯发展理论，学会探索自我，能够进行职业环境评估和职业生涯决策、管理。</w:t>
            </w:r>
          </w:p>
          <w:p w14:paraId="28590397">
            <w:pPr>
              <w:pageBreakBefore w:val="0"/>
              <w:widowControl/>
              <w:kinsoku/>
              <w:wordWrap/>
              <w:overflowPunct/>
              <w:topLinePunct w:val="0"/>
              <w:bidi w:val="0"/>
              <w:spacing w:line="360" w:lineRule="exact"/>
              <w:rPr>
                <w:rFonts w:ascii="宋体" w:hAnsi="宋体" w:cs="宋体"/>
                <w:kern w:val="0"/>
                <w:sz w:val="18"/>
                <w:szCs w:val="18"/>
              </w:rPr>
            </w:pPr>
            <w:r>
              <w:rPr>
                <w:rFonts w:hint="eastAsia" w:ascii="宋体" w:hAnsi="宋体" w:cs="宋体"/>
                <w:kern w:val="0"/>
                <w:sz w:val="18"/>
                <w:szCs w:val="18"/>
              </w:rPr>
              <w:t>模块三 提升就业能力</w:t>
            </w:r>
          </w:p>
          <w:p w14:paraId="24930A10">
            <w:pPr>
              <w:pageBreakBefore w:val="0"/>
              <w:widowControl/>
              <w:kinsoku/>
              <w:wordWrap/>
              <w:overflowPunct/>
              <w:topLinePunct w:val="0"/>
              <w:bidi w:val="0"/>
              <w:spacing w:line="360" w:lineRule="exact"/>
              <w:ind w:firstLine="420"/>
              <w:rPr>
                <w:rFonts w:ascii="宋体" w:hAnsi="宋体" w:cs="宋体"/>
                <w:kern w:val="0"/>
                <w:sz w:val="18"/>
                <w:szCs w:val="18"/>
              </w:rPr>
            </w:pPr>
            <w:r>
              <w:rPr>
                <w:rFonts w:hint="eastAsia" w:ascii="宋体" w:hAnsi="宋体" w:cs="宋体"/>
                <w:kern w:val="0"/>
                <w:sz w:val="18"/>
                <w:szCs w:val="18"/>
              </w:rPr>
              <w:t>了解大学生就业能力的内涵，培养对环境的适应能力和自主学习的能力，通过学习和活动锻炼培养表达能力、人际交往能力、信息处理能力等。</w:t>
            </w:r>
          </w:p>
          <w:p w14:paraId="13C8C1B0">
            <w:pPr>
              <w:pageBreakBefore w:val="0"/>
              <w:widowControl/>
              <w:kinsoku/>
              <w:wordWrap/>
              <w:overflowPunct/>
              <w:topLinePunct w:val="0"/>
              <w:bidi w:val="0"/>
              <w:spacing w:line="360" w:lineRule="exact"/>
              <w:rPr>
                <w:rFonts w:ascii="宋体" w:hAnsi="宋体" w:cs="宋体"/>
                <w:kern w:val="0"/>
                <w:sz w:val="18"/>
                <w:szCs w:val="18"/>
              </w:rPr>
            </w:pPr>
            <w:r>
              <w:rPr>
                <w:rFonts w:hint="eastAsia" w:ascii="宋体" w:hAnsi="宋体" w:cs="宋体"/>
                <w:kern w:val="0"/>
                <w:sz w:val="18"/>
                <w:szCs w:val="18"/>
              </w:rPr>
              <w:t>模块四 准备求职面试</w:t>
            </w:r>
          </w:p>
          <w:p w14:paraId="71C12573">
            <w:pPr>
              <w:pageBreakBefore w:val="0"/>
              <w:widowControl/>
              <w:kinsoku/>
              <w:wordWrap/>
              <w:overflowPunct/>
              <w:topLinePunct w:val="0"/>
              <w:bidi w:val="0"/>
              <w:spacing w:line="360" w:lineRule="exact"/>
              <w:ind w:firstLine="420"/>
              <w:rPr>
                <w:rFonts w:ascii="宋体" w:hAnsi="宋体" w:cs="宋体"/>
                <w:kern w:val="0"/>
                <w:sz w:val="18"/>
                <w:szCs w:val="18"/>
              </w:rPr>
            </w:pPr>
            <w:r>
              <w:rPr>
                <w:rFonts w:hint="eastAsia" w:ascii="宋体" w:hAnsi="宋体" w:cs="宋体"/>
                <w:kern w:val="0"/>
                <w:sz w:val="18"/>
                <w:szCs w:val="18"/>
              </w:rPr>
              <w:t>学会对求职信息进行搜集与整理，了解求职材料的准备，了解面试技巧。</w:t>
            </w:r>
          </w:p>
          <w:p w14:paraId="1EF8ECF4">
            <w:pPr>
              <w:pageBreakBefore w:val="0"/>
              <w:widowControl/>
              <w:kinsoku/>
              <w:wordWrap/>
              <w:overflowPunct/>
              <w:topLinePunct w:val="0"/>
              <w:bidi w:val="0"/>
              <w:spacing w:line="360" w:lineRule="exact"/>
              <w:rPr>
                <w:rFonts w:ascii="宋体" w:hAnsi="宋体" w:cs="宋体"/>
                <w:kern w:val="0"/>
                <w:sz w:val="18"/>
                <w:szCs w:val="18"/>
              </w:rPr>
            </w:pPr>
            <w:r>
              <w:rPr>
                <w:rFonts w:hint="eastAsia" w:ascii="宋体" w:hAnsi="宋体" w:cs="宋体"/>
                <w:kern w:val="0"/>
                <w:sz w:val="18"/>
                <w:szCs w:val="18"/>
              </w:rPr>
              <w:t>模块五 迈好职场第一步</w:t>
            </w:r>
          </w:p>
          <w:p w14:paraId="1E224AFC">
            <w:pPr>
              <w:pageBreakBefore w:val="0"/>
              <w:widowControl/>
              <w:kinsoku/>
              <w:wordWrap/>
              <w:overflowPunct/>
              <w:topLinePunct w:val="0"/>
              <w:bidi w:val="0"/>
              <w:spacing w:line="360" w:lineRule="exact"/>
              <w:ind w:firstLine="420"/>
              <w:rPr>
                <w:rFonts w:ascii="宋体" w:hAnsi="宋体" w:cs="宋体"/>
                <w:kern w:val="0"/>
                <w:sz w:val="18"/>
                <w:szCs w:val="18"/>
              </w:rPr>
            </w:pPr>
            <w:r>
              <w:rPr>
                <w:rFonts w:hint="eastAsia" w:ascii="宋体" w:hAnsi="宋体" w:cs="宋体"/>
                <w:kern w:val="0"/>
                <w:sz w:val="18"/>
                <w:szCs w:val="18"/>
              </w:rPr>
              <w:t>能够顺利转换角色、定位自我，认识和适应新的环境，了解工作中的注意事项。</w:t>
            </w:r>
          </w:p>
          <w:p w14:paraId="65531333">
            <w:pPr>
              <w:pageBreakBefore w:val="0"/>
              <w:widowControl/>
              <w:kinsoku/>
              <w:wordWrap/>
              <w:overflowPunct/>
              <w:topLinePunct w:val="0"/>
              <w:bidi w:val="0"/>
              <w:spacing w:line="360" w:lineRule="exact"/>
              <w:rPr>
                <w:rFonts w:ascii="宋体" w:hAnsi="宋体" w:cs="宋体"/>
                <w:kern w:val="0"/>
                <w:sz w:val="18"/>
                <w:szCs w:val="18"/>
              </w:rPr>
            </w:pPr>
            <w:r>
              <w:rPr>
                <w:rFonts w:hint="eastAsia" w:ascii="宋体" w:hAnsi="宋体" w:cs="宋体"/>
                <w:kern w:val="0"/>
                <w:sz w:val="18"/>
                <w:szCs w:val="18"/>
              </w:rPr>
              <w:t>模块六 就业权益与保障</w:t>
            </w:r>
          </w:p>
          <w:p w14:paraId="6C7AF583">
            <w:pPr>
              <w:pageBreakBefore w:val="0"/>
              <w:widowControl/>
              <w:kinsoku/>
              <w:wordWrap/>
              <w:overflowPunct/>
              <w:topLinePunct w:val="0"/>
              <w:bidi w:val="0"/>
              <w:spacing w:line="360" w:lineRule="exact"/>
              <w:ind w:firstLine="420"/>
              <w:rPr>
                <w:rFonts w:ascii="宋体" w:hAnsi="宋体" w:cs="宋体"/>
                <w:kern w:val="0"/>
                <w:sz w:val="18"/>
                <w:szCs w:val="18"/>
              </w:rPr>
            </w:pPr>
            <w:r>
              <w:rPr>
                <w:rFonts w:hint="eastAsia" w:ascii="宋体" w:hAnsi="宋体" w:cs="宋体"/>
                <w:kern w:val="0"/>
                <w:sz w:val="18"/>
                <w:szCs w:val="18"/>
              </w:rPr>
              <w:t>了解求职过程中常见的侵权行为与保护途径，明白违约责任与劳动争议。</w:t>
            </w:r>
          </w:p>
          <w:p w14:paraId="2CEEDEA8">
            <w:pPr>
              <w:pStyle w:val="7"/>
              <w:pageBreakBefore w:val="0"/>
              <w:kinsoku/>
              <w:wordWrap/>
              <w:overflowPunct/>
              <w:topLinePunct w:val="0"/>
              <w:bidi w:val="0"/>
              <w:spacing w:line="360" w:lineRule="exact"/>
              <w:jc w:val="both"/>
              <w:rPr>
                <w:rFonts w:ascii="宋体" w:hAnsi="宋体" w:cs="宋体"/>
                <w:bCs/>
                <w:sz w:val="18"/>
                <w:szCs w:val="18"/>
              </w:rPr>
            </w:pPr>
          </w:p>
        </w:tc>
        <w:tc>
          <w:tcPr>
            <w:tcW w:w="2778" w:type="dxa"/>
          </w:tcPr>
          <w:p w14:paraId="732721BA">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395900BB">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（2）教学方法：遵循教育教学规律，坚持理论讲授与案例分析相结合、小组讨论与角色体验相结合、经验传授与求职就业实践相结合，调动学生学习职业规划的积极性、主动性，不断提高教学质量和水平。</w:t>
            </w:r>
          </w:p>
          <w:p w14:paraId="2D7EBA8E">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（3）教学条件：多媒体教室和智慧校园平台。</w:t>
            </w:r>
          </w:p>
          <w:p w14:paraId="4DBD7A47">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（4）教师要求：本课程的主讲教师须有过指导学生就业或从事过学生管理的工作经历，熟悉企业招聘流程和规则，能够理论联系实际帮助学生做好职业规划。</w:t>
            </w:r>
          </w:p>
          <w:p w14:paraId="361BB855">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（5）课程思政：能够结合社会主义核心价值观引导学生树立“爱岗”“敬业”“诚信”“守信”等良好品质。</w:t>
            </w:r>
          </w:p>
          <w:p w14:paraId="3E2DC109">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（6）评价建议：采取学习过程考核（30%）+期末测评（70%）评定学习效果。</w:t>
            </w:r>
          </w:p>
          <w:p w14:paraId="040F25B6">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（5）课程思政：能够结合社会主义核心价值观引导学生树立“爱岗”“敬业”“诚信”“守信”等良好品质。</w:t>
            </w:r>
          </w:p>
          <w:p w14:paraId="38B99305">
            <w:pPr>
              <w:pageBreakBefore w:val="0"/>
              <w:widowControl/>
              <w:kinsoku/>
              <w:wordWrap/>
              <w:overflowPunct/>
              <w:topLinePunct w:val="0"/>
              <w:bidi w:val="0"/>
              <w:spacing w:line="360" w:lineRule="exact"/>
              <w:ind w:firstLine="55"/>
              <w:rPr>
                <w:rFonts w:ascii="宋体" w:hAnsi="宋体" w:cs="宋体"/>
                <w:b/>
                <w:sz w:val="18"/>
                <w:szCs w:val="18"/>
              </w:rPr>
            </w:pPr>
            <w:r>
              <w:rPr>
                <w:rFonts w:hint="eastAsia" w:ascii="宋体" w:hAnsi="宋体" w:cs="宋体"/>
                <w:sz w:val="18"/>
                <w:szCs w:val="18"/>
              </w:rPr>
              <w:t>（6）评价建议：采取学习过程考核（50%）+期末测评（50%）评定学习效果。</w:t>
            </w:r>
          </w:p>
        </w:tc>
      </w:tr>
      <w:tr w14:paraId="24BF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8EF26D7">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77A27FA0">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100B2C7D">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577FA7B4">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77766536">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03FCD6B9">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2F7C83A7">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523C9320">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60224AE6">
            <w:pPr>
              <w:keepLines/>
              <w:pageBreakBefore w:val="0"/>
              <w:widowControl/>
              <w:kinsoku/>
              <w:wordWrap/>
              <w:overflowPunct/>
              <w:topLinePunct w:val="0"/>
              <w:bidi w:val="0"/>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42C253DC">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14EE1E77">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3C0766E6">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0AFC1C79">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394BCA2A">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01D84F97">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（2）创新意识和创新能力。 </w:t>
            </w:r>
          </w:p>
          <w:p w14:paraId="1553650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（3）创新思维及分类。 </w:t>
            </w:r>
          </w:p>
          <w:p w14:paraId="5B26FC8D">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（4）创新技法。  </w:t>
            </w:r>
          </w:p>
          <w:p w14:paraId="1FEB99B6">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0E060BD0">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1F82A87B">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（7）创业准备。  </w:t>
            </w:r>
          </w:p>
          <w:p w14:paraId="39733059">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（8）创办企业基本步骤。 </w:t>
            </w:r>
          </w:p>
          <w:p w14:paraId="55FF1300">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（9）新创企业经营管理。 </w:t>
            </w:r>
          </w:p>
          <w:p w14:paraId="404CE1A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（10）大学生创业实践项目展示。  </w:t>
            </w:r>
          </w:p>
          <w:p w14:paraId="40002CE8">
            <w:pPr>
              <w:keepLines/>
              <w:pageBreakBefore w:val="0"/>
              <w:widowControl/>
              <w:kinsoku/>
              <w:wordWrap/>
              <w:overflowPunct/>
              <w:topLinePunct w:val="0"/>
              <w:bidi w:val="0"/>
              <w:spacing w:line="360" w:lineRule="exact"/>
              <w:ind w:firstLine="55"/>
              <w:rPr>
                <w:rFonts w:ascii="宋体" w:hAnsi="宋体" w:cs="宋体"/>
                <w:kern w:val="0"/>
                <w:sz w:val="18"/>
                <w:szCs w:val="18"/>
              </w:rPr>
            </w:pPr>
          </w:p>
        </w:tc>
        <w:tc>
          <w:tcPr>
            <w:tcW w:w="2778" w:type="dxa"/>
          </w:tcPr>
          <w:p w14:paraId="6F448087">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6802191D">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04E24425">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47379E94">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2F4AFA9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359EE5E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475E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9C82AAF">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大学英语</w:t>
            </w:r>
          </w:p>
        </w:tc>
        <w:tc>
          <w:tcPr>
            <w:tcW w:w="2778" w:type="dxa"/>
          </w:tcPr>
          <w:p w14:paraId="7623619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088133B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425B815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53747490">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34257C5C">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1. A New Start</w:t>
            </w:r>
          </w:p>
          <w:p w14:paraId="50A2EFA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324E16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F5031C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413676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5A5109D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1736012">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15FF1A7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41F7C6E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C1476D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4FAB7C7">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D97B46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08FE0B3">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Unit3. Enjoy Your Spare Time</w:t>
            </w:r>
          </w:p>
          <w:p w14:paraId="547D8A2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26A6818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BB8DA1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65E137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6DB3E0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8F533B4">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4. Make Your Choices</w:t>
            </w:r>
          </w:p>
          <w:p w14:paraId="147EA46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92379B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A93930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30ECE55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474B7A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8B7E748">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6337282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F7E9192">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38283B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2322E1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3F0C06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1EAD4EF">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6. Love Your Parents</w:t>
            </w:r>
          </w:p>
          <w:p w14:paraId="6D55D1E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0736ED6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0DD9EC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3F95771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247969C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438202D9">
            <w:pPr>
              <w:pageBreakBefore w:val="0"/>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097D937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D81C5B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8389BC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6ADBC9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C122D7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030CA3C">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8. Travel</w:t>
            </w:r>
          </w:p>
          <w:p w14:paraId="06A34AC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08022077">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863D11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74305E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32D9D5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5CCC9ED6">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1AABBC0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3644235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48E9E8F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0DF7A83D">
            <w:pPr>
              <w:keepLines/>
              <w:pageBreakBefore w:val="0"/>
              <w:kinsoku/>
              <w:wordWrap/>
              <w:overflowPunct/>
              <w:topLinePunct w:val="0"/>
              <w:bidi w:val="0"/>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06DB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CE07E1F">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信息技术</w:t>
            </w:r>
          </w:p>
          <w:p w14:paraId="7F46E376">
            <w:pPr>
              <w:keepLines/>
              <w:pageBreakBefore w:val="0"/>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3C28FF2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55D1AA1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3B73DB4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753F670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68A6DA5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6490252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30E1873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7C58FFB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0DA2D20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48212A3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42F4605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2EB184EF">
            <w:pPr>
              <w:keepLines/>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0C02685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7F5A0A7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1.文档处理</w:t>
            </w:r>
          </w:p>
          <w:p w14:paraId="59BD7CD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11989BF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18D7623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2.电子表格处理</w:t>
            </w:r>
          </w:p>
          <w:p w14:paraId="302D891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530DCB1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0CEC75B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3.演示文稿制作</w:t>
            </w:r>
          </w:p>
          <w:p w14:paraId="1B2B013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40EB2E4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69AA6E2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4.信息检索</w:t>
            </w:r>
          </w:p>
          <w:p w14:paraId="4D41ACE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7E635EA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2A0DE70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5.新一代信息技术概述</w:t>
            </w:r>
          </w:p>
          <w:p w14:paraId="2DDBEC1F">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5718028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4637B719">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6.信息素养与社会责任</w:t>
            </w:r>
          </w:p>
          <w:p w14:paraId="4D90B00C">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6C19F6D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685BAC7C">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（1）教学模式</w:t>
            </w:r>
          </w:p>
          <w:p w14:paraId="225F4EDF">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03E19F1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7E61CD0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（2）教学条件</w:t>
            </w:r>
          </w:p>
          <w:p w14:paraId="4DD7FE2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5B6B258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110431E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（3）教学方法</w:t>
            </w:r>
          </w:p>
          <w:p w14:paraId="1296D5F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4FE5397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0A76134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（4）教师要求</w:t>
            </w:r>
          </w:p>
          <w:p w14:paraId="4708B16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24B0445F">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6CD28C8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（5）考核方式</w:t>
            </w:r>
          </w:p>
          <w:p w14:paraId="2E7D1FB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5415B36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终结性考核（50%）：</w:t>
            </w:r>
          </w:p>
          <w:p w14:paraId="0F31BC6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492D7914">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1CA3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9522BC8">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5B959ED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7B62CBF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5DBA501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4204DBE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30E57B8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059B486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1F1D90F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02552EF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3B8C7D3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495BBC8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5B0CBC6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6AD739D3">
            <w:pPr>
              <w:keepLines/>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48E6C65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0B327B7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1.基础理论</w:t>
            </w:r>
          </w:p>
          <w:p w14:paraId="27B938E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人工智能概述：概念、历史、研究领域与伦理。</w:t>
            </w:r>
          </w:p>
          <w:p w14:paraId="5B8174C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4A5E590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10E33B9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2.技术方法</w:t>
            </w:r>
          </w:p>
          <w:p w14:paraId="5E1AB36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4C24F57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3EBB57F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44709AC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3.应用实践</w:t>
            </w:r>
          </w:p>
          <w:p w14:paraId="6C5AED1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0C2D611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704C0F3B">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242024D9">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62E5E4B8">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15960A8B">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138C7321">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2066D8CD">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7E50C21D">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0D5FCBA7">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67E53788">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08BAF157">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0A0FCE3F">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164D8C02">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00A2053C">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4C17E79C">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17F1BB9D">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2FB2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065BB78">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70E4F38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469D68E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4C16742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74BC835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023F3B81">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4CB46FB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59AD8DEF">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136C1F89">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186F4FFA">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3C6D47C7">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44D3DFD5">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22F16479">
            <w:pPr>
              <w:pStyle w:val="7"/>
              <w:keepLines/>
              <w:pageBreakBefore w:val="0"/>
              <w:kinsoku/>
              <w:wordWrap/>
              <w:overflowPunct/>
              <w:topLinePunct w:val="0"/>
              <w:bidi w:val="0"/>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07EC13E9">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6437D6C5">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1D01C93C">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6CD1968E">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0DF2D84B">
            <w:pPr>
              <w:pStyle w:val="6"/>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0418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D90555A">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1B32D4B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4B64FD0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14B8B38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10A30C20">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094875C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796C3AF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65CC93EE">
            <w:pPr>
              <w:keepLines/>
              <w:pageBreakBefore w:val="0"/>
              <w:widowControl/>
              <w:kinsoku/>
              <w:wordWrap/>
              <w:overflowPunct/>
              <w:topLinePunct w:val="0"/>
              <w:bidi w:val="0"/>
              <w:adjustRightInd w:val="0"/>
              <w:snapToGrid w:val="0"/>
              <w:spacing w:line="360" w:lineRule="exact"/>
              <w:rPr>
                <w:rFonts w:ascii="宋体" w:hAnsi="宋体" w:cs="宋体"/>
                <w:bCs/>
                <w:sz w:val="18"/>
                <w:szCs w:val="18"/>
              </w:rPr>
            </w:pPr>
          </w:p>
        </w:tc>
        <w:tc>
          <w:tcPr>
            <w:tcW w:w="2778" w:type="dxa"/>
          </w:tcPr>
          <w:p w14:paraId="3CD2970A">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6ED0AB00">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723918D5">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4BA38D8F">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7D4E161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3DD96893">
            <w:pPr>
              <w:keepLines/>
              <w:pageBreakBefore w:val="0"/>
              <w:widowControl/>
              <w:kinsoku/>
              <w:wordWrap/>
              <w:overflowPunct/>
              <w:topLinePunct w:val="0"/>
              <w:bidi w:val="0"/>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60A9AA8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4AF4B91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567307A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1C01A29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3CB6522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37C65ED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488409D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050934C8">
      <w:pPr>
        <w:pageBreakBefore w:val="0"/>
        <w:kinsoku/>
        <w:wordWrap/>
        <w:overflowPunct/>
        <w:topLinePunct w:val="0"/>
        <w:bidi w:val="0"/>
        <w:spacing w:line="360" w:lineRule="exact"/>
        <w:ind w:firstLine="422" w:firstLineChars="200"/>
        <w:rPr>
          <w:rFonts w:ascii="宋体" w:hAnsi="宋体" w:cs="宋体"/>
          <w:color w:val="FF0000"/>
          <w:szCs w:val="21"/>
        </w:rPr>
      </w:pPr>
      <w:r>
        <w:rPr>
          <w:rFonts w:hint="eastAsia" w:ascii="宋体" w:hAnsi="宋体" w:cs="宋体"/>
          <w:b/>
          <w:szCs w:val="21"/>
        </w:rPr>
        <w:t>（二）专业课程</w:t>
      </w:r>
    </w:p>
    <w:p w14:paraId="45798BF3">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2700"/>
        <w:gridCol w:w="2618"/>
        <w:gridCol w:w="2322"/>
      </w:tblGrid>
      <w:tr w14:paraId="4717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vAlign w:val="center"/>
          </w:tcPr>
          <w:p w14:paraId="69511D90">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700" w:type="dxa"/>
            <w:vAlign w:val="center"/>
          </w:tcPr>
          <w:p w14:paraId="2D0BF001">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618" w:type="dxa"/>
            <w:vAlign w:val="center"/>
          </w:tcPr>
          <w:p w14:paraId="1AF59E1D">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322" w:type="dxa"/>
            <w:vAlign w:val="center"/>
          </w:tcPr>
          <w:p w14:paraId="32EB5D3B">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22E4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shd w:val="clear" w:color="auto" w:fill="auto"/>
            <w:vAlign w:val="center"/>
          </w:tcPr>
          <w:p w14:paraId="53FA037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学前教育概论</w:t>
            </w:r>
          </w:p>
        </w:tc>
        <w:tc>
          <w:tcPr>
            <w:tcW w:w="2700" w:type="dxa"/>
            <w:shd w:val="clear" w:color="auto" w:fill="auto"/>
          </w:tcPr>
          <w:p w14:paraId="0EF09CD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1</w:t>
            </w:r>
            <w:r>
              <w:rPr>
                <w:rFonts w:hint="eastAsia" w:ascii="宋体" w:hAnsi="宋体" w:cs="宋体"/>
                <w:b/>
                <w:sz w:val="18"/>
                <w:szCs w:val="18"/>
              </w:rPr>
              <w:t>.知识目标</w:t>
            </w:r>
            <w:r>
              <w:rPr>
                <w:rFonts w:hint="eastAsia" w:ascii="宋体" w:hAnsi="宋体" w:cs="宋体"/>
                <w:sz w:val="18"/>
                <w:szCs w:val="18"/>
              </w:rPr>
              <w:t>：</w:t>
            </w:r>
          </w:p>
          <w:p w14:paraId="346C72E4">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（1）了解幼儿教育的基本概念、意义、任务与功能；</w:t>
            </w:r>
          </w:p>
          <w:p w14:paraId="23467CBB">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（2）了解幼儿教育发展的历史与现状；</w:t>
            </w:r>
          </w:p>
          <w:p w14:paraId="4C9CB09D">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（3）知晓各种幼儿教育理论流派的基本观点；</w:t>
            </w:r>
          </w:p>
          <w:p w14:paraId="68E6A62B">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（4）了解我国的教育目的与幼儿教育目标。</w:t>
            </w:r>
          </w:p>
          <w:p w14:paraId="207E4FB0">
            <w:pPr>
              <w:pageBreakBefore w:val="0"/>
              <w:kinsoku/>
              <w:wordWrap/>
              <w:overflowPunct/>
              <w:topLinePunct w:val="0"/>
              <w:bidi w:val="0"/>
              <w:spacing w:line="360" w:lineRule="exact"/>
              <w:jc w:val="left"/>
              <w:rPr>
                <w:rFonts w:ascii="宋体" w:hAnsi="宋体" w:cs="宋体"/>
                <w:b/>
                <w:sz w:val="18"/>
                <w:szCs w:val="18"/>
              </w:rPr>
            </w:pPr>
            <w:r>
              <w:rPr>
                <w:rFonts w:hint="eastAsia" w:ascii="宋体" w:hAnsi="宋体" w:cs="宋体"/>
                <w:b/>
                <w:sz w:val="18"/>
                <w:szCs w:val="18"/>
              </w:rPr>
              <w:t>2.能力目标：</w:t>
            </w:r>
          </w:p>
          <w:p w14:paraId="5D19228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（1）掌握体、智、德、美各域的概念、目标和任务、内容和实施；</w:t>
            </w:r>
          </w:p>
          <w:p w14:paraId="32A5E229">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（2）掌握与家长沟通合作的基本原则与方法；</w:t>
            </w:r>
          </w:p>
          <w:p w14:paraId="3F82ED3A">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（3）掌握幼儿园与家庭相互配合的意义和内容以及幼儿教师的职责和应具备的素质。</w:t>
            </w:r>
          </w:p>
          <w:p w14:paraId="71BD8246">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3.素质目标</w:t>
            </w:r>
            <w:r>
              <w:rPr>
                <w:rFonts w:hint="eastAsia" w:ascii="宋体" w:hAnsi="宋体" w:cs="宋体"/>
                <w:sz w:val="18"/>
                <w:szCs w:val="18"/>
              </w:rPr>
              <w:t>：</w:t>
            </w:r>
          </w:p>
          <w:p w14:paraId="65B22277">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（1）养成正确的儿童观与幼儿教育观；</w:t>
            </w:r>
          </w:p>
          <w:p w14:paraId="675370AA">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（2）树立幼儿教育工作者的专业意识；</w:t>
            </w:r>
          </w:p>
          <w:p w14:paraId="7E621D70">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（3）了解幼儿教育工作者的基本职责。</w:t>
            </w:r>
          </w:p>
        </w:tc>
        <w:tc>
          <w:tcPr>
            <w:tcW w:w="2618" w:type="dxa"/>
            <w:shd w:val="clear" w:color="auto" w:fill="auto"/>
          </w:tcPr>
          <w:p w14:paraId="3D042F3E">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模块一</w:t>
            </w:r>
            <w:r>
              <w:rPr>
                <w:rFonts w:hint="eastAsia" w:ascii="宋体" w:hAnsi="宋体" w:cs="宋体"/>
                <w:sz w:val="18"/>
                <w:szCs w:val="18"/>
              </w:rPr>
              <w:t>：幼儿教育学概论</w:t>
            </w:r>
          </w:p>
          <w:p w14:paraId="445C8F08">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模块二</w:t>
            </w:r>
            <w:r>
              <w:rPr>
                <w:rFonts w:hint="eastAsia" w:ascii="宋体" w:hAnsi="宋体" w:cs="宋体"/>
                <w:sz w:val="18"/>
                <w:szCs w:val="18"/>
              </w:rPr>
              <w:t>：幼儿园教育的目标任务及原则</w:t>
            </w:r>
          </w:p>
          <w:p w14:paraId="66D95767">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模块三</w:t>
            </w:r>
            <w:r>
              <w:rPr>
                <w:rFonts w:hint="eastAsia" w:ascii="宋体" w:hAnsi="宋体" w:cs="宋体"/>
                <w:sz w:val="18"/>
                <w:szCs w:val="18"/>
              </w:rPr>
              <w:t>：幼儿的德智体美全面发展教育</w:t>
            </w:r>
          </w:p>
          <w:p w14:paraId="38ED471C">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模块四</w:t>
            </w:r>
            <w:r>
              <w:rPr>
                <w:rFonts w:hint="eastAsia" w:ascii="宋体" w:hAnsi="宋体" w:cs="宋体"/>
                <w:sz w:val="18"/>
                <w:szCs w:val="18"/>
              </w:rPr>
              <w:t>：幼儿园的基本构成要素</w:t>
            </w:r>
          </w:p>
          <w:p w14:paraId="61A6BA9C">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模块五</w:t>
            </w:r>
            <w:r>
              <w:rPr>
                <w:rFonts w:hint="eastAsia" w:ascii="宋体" w:hAnsi="宋体" w:cs="宋体"/>
                <w:sz w:val="18"/>
                <w:szCs w:val="18"/>
              </w:rPr>
              <w:t>：幼儿园的教学、游戏、日常生活等活动</w:t>
            </w:r>
          </w:p>
          <w:p w14:paraId="78F580F9">
            <w:pPr>
              <w:pageBreakBefore w:val="0"/>
              <w:kinsoku/>
              <w:wordWrap/>
              <w:overflowPunct/>
              <w:topLinePunct w:val="0"/>
              <w:bidi w:val="0"/>
              <w:spacing w:line="360" w:lineRule="exact"/>
              <w:jc w:val="left"/>
              <w:rPr>
                <w:rFonts w:ascii="宋体" w:hAnsi="宋体" w:cs="宋体"/>
                <w:sz w:val="18"/>
                <w:szCs w:val="18"/>
              </w:rPr>
            </w:pPr>
          </w:p>
        </w:tc>
        <w:tc>
          <w:tcPr>
            <w:tcW w:w="2322" w:type="dxa"/>
            <w:shd w:val="clear" w:color="auto" w:fill="auto"/>
          </w:tcPr>
          <w:p w14:paraId="7108E967">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教学模式</w:t>
            </w:r>
            <w:r>
              <w:rPr>
                <w:rFonts w:hint="eastAsia" w:ascii="宋体" w:hAnsi="宋体" w:cs="宋体"/>
                <w:sz w:val="18"/>
                <w:szCs w:val="18"/>
              </w:rPr>
              <w:t>：理论课教学基于“以学生为中心”的教学理念，采取“导新课－学新知－品案例－思问题－拓知识”五位一体的教学模式，将授课内容与学生兴趣相结合，达到良好的教学效果。</w:t>
            </w:r>
          </w:p>
          <w:p w14:paraId="7CDD44DF">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教学方法</w:t>
            </w:r>
            <w:r>
              <w:rPr>
                <w:rFonts w:hint="eastAsia" w:ascii="宋体" w:hAnsi="宋体" w:cs="宋体"/>
                <w:sz w:val="18"/>
                <w:szCs w:val="18"/>
              </w:rPr>
              <w:t>：采用讲解法、讨论法、实例分析法、课堂互动法等。</w:t>
            </w:r>
          </w:p>
          <w:p w14:paraId="55A67B53">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教学条件：依托多媒体教室和智慧校园平台开展教学。</w:t>
            </w:r>
          </w:p>
          <w:p w14:paraId="4E164F4C">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评价建议</w:t>
            </w:r>
            <w:r>
              <w:rPr>
                <w:rFonts w:hint="eastAsia" w:ascii="宋体" w:hAnsi="宋体" w:cs="宋体"/>
                <w:sz w:val="18"/>
                <w:szCs w:val="18"/>
              </w:rPr>
              <w:t>：由教师根据学生的课堂表现、课堂互动和考勤情况综合评定，占期末总成绩的30%；期末成绩占总成绩的70%。</w:t>
            </w:r>
          </w:p>
        </w:tc>
      </w:tr>
      <w:tr w14:paraId="41F7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shd w:val="clear" w:color="auto" w:fill="auto"/>
            <w:vAlign w:val="center"/>
          </w:tcPr>
          <w:p w14:paraId="52FB6EE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学前儿童心理发展</w:t>
            </w:r>
          </w:p>
        </w:tc>
        <w:tc>
          <w:tcPr>
            <w:tcW w:w="2700" w:type="dxa"/>
            <w:shd w:val="clear" w:color="auto" w:fill="auto"/>
          </w:tcPr>
          <w:p w14:paraId="7A3FEDD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1.知识目标</w:t>
            </w:r>
            <w:r>
              <w:rPr>
                <w:rFonts w:hint="eastAsia" w:ascii="宋体" w:hAnsi="宋体" w:cs="宋体"/>
                <w:bCs/>
                <w:sz w:val="18"/>
                <w:szCs w:val="18"/>
              </w:rPr>
              <w:t>：</w:t>
            </w:r>
          </w:p>
          <w:p w14:paraId="7AA3052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掌握儿童心理发展的基本理论，个体心理发展的一般规律，个体心理发展的具体规律。</w:t>
            </w:r>
          </w:p>
          <w:p w14:paraId="7655D2B2">
            <w:pPr>
              <w:pStyle w:val="20"/>
              <w:pageBreakBefore w:val="0"/>
              <w:kinsoku/>
              <w:wordWrap/>
              <w:overflowPunct/>
              <w:topLinePunct w:val="0"/>
              <w:bidi w:val="0"/>
              <w:spacing w:line="360" w:lineRule="exact"/>
              <w:ind w:firstLine="0" w:firstLineChars="0"/>
              <w:jc w:val="both"/>
              <w:rPr>
                <w:bCs/>
                <w:kern w:val="2"/>
                <w:sz w:val="18"/>
                <w:szCs w:val="18"/>
              </w:rPr>
            </w:pPr>
            <w:r>
              <w:rPr>
                <w:rFonts w:hint="eastAsia"/>
                <w:b/>
                <w:kern w:val="2"/>
                <w:sz w:val="18"/>
                <w:szCs w:val="18"/>
              </w:rPr>
              <w:t>2.能力目标</w:t>
            </w:r>
            <w:r>
              <w:rPr>
                <w:rFonts w:hint="eastAsia"/>
                <w:bCs/>
                <w:kern w:val="2"/>
                <w:sz w:val="18"/>
                <w:szCs w:val="18"/>
              </w:rPr>
              <w:t>：</w:t>
            </w:r>
          </w:p>
          <w:p w14:paraId="32F8CC4C">
            <w:pPr>
              <w:pStyle w:val="20"/>
              <w:pageBreakBefore w:val="0"/>
              <w:kinsoku/>
              <w:wordWrap/>
              <w:overflowPunct/>
              <w:topLinePunct w:val="0"/>
              <w:bidi w:val="0"/>
              <w:spacing w:line="360" w:lineRule="exact"/>
              <w:ind w:firstLine="0" w:firstLineChars="0"/>
              <w:jc w:val="both"/>
              <w:rPr>
                <w:bCs/>
                <w:kern w:val="2"/>
                <w:sz w:val="18"/>
                <w:szCs w:val="18"/>
              </w:rPr>
            </w:pPr>
            <w:r>
              <w:rPr>
                <w:rFonts w:hint="eastAsia"/>
                <w:bCs/>
                <w:kern w:val="2"/>
                <w:sz w:val="18"/>
                <w:szCs w:val="18"/>
              </w:rPr>
              <w:t>具有理论引领实践，让学生在紧密联系学前儿童心理活动和学前儿童教育活动的实际中去学习，从而培养起学生运用学前儿童心理发展的理论和知识解决教育教学实际问题的职业能力。</w:t>
            </w:r>
          </w:p>
          <w:p w14:paraId="44E9DE0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3.素质目标</w:t>
            </w:r>
            <w:r>
              <w:rPr>
                <w:rFonts w:hint="eastAsia" w:ascii="宋体" w:hAnsi="宋体" w:cs="宋体"/>
                <w:bCs/>
                <w:sz w:val="18"/>
                <w:szCs w:val="18"/>
              </w:rPr>
              <w:t>：</w:t>
            </w:r>
          </w:p>
          <w:p w14:paraId="393C3CB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养成正确的儿童观与幼儿教育观；树立幼儿教育工作者的专业意识；了解幼儿教育工作者的基本职责。</w:t>
            </w:r>
          </w:p>
          <w:p w14:paraId="286C1998">
            <w:pPr>
              <w:pStyle w:val="20"/>
              <w:pageBreakBefore w:val="0"/>
              <w:kinsoku/>
              <w:wordWrap/>
              <w:overflowPunct/>
              <w:topLinePunct w:val="0"/>
              <w:bidi w:val="0"/>
              <w:spacing w:line="360" w:lineRule="exact"/>
              <w:ind w:firstLine="0" w:firstLineChars="0"/>
              <w:jc w:val="both"/>
              <w:rPr>
                <w:bCs/>
                <w:kern w:val="2"/>
                <w:sz w:val="18"/>
                <w:szCs w:val="18"/>
              </w:rPr>
            </w:pPr>
          </w:p>
        </w:tc>
        <w:tc>
          <w:tcPr>
            <w:tcW w:w="2618" w:type="dxa"/>
            <w:shd w:val="clear" w:color="auto" w:fill="auto"/>
          </w:tcPr>
          <w:p w14:paraId="6F03882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模块一</w:t>
            </w:r>
            <w:r>
              <w:rPr>
                <w:rFonts w:hint="eastAsia" w:ascii="宋体" w:hAnsi="宋体" w:cs="宋体"/>
                <w:bCs/>
                <w:sz w:val="18"/>
                <w:szCs w:val="18"/>
              </w:rPr>
              <w:t>：幼儿心理的发生和发展规律</w:t>
            </w:r>
          </w:p>
          <w:p w14:paraId="489DC3B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模块二</w:t>
            </w:r>
            <w:r>
              <w:rPr>
                <w:rFonts w:hint="eastAsia" w:ascii="宋体" w:hAnsi="宋体" w:cs="宋体"/>
                <w:bCs/>
                <w:sz w:val="18"/>
                <w:szCs w:val="18"/>
              </w:rPr>
              <w:t>：幼儿心理发展的基本理论及具有代表性的理论派别</w:t>
            </w:r>
          </w:p>
          <w:p w14:paraId="3843839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模块三</w:t>
            </w:r>
            <w:r>
              <w:rPr>
                <w:rFonts w:hint="eastAsia" w:ascii="宋体" w:hAnsi="宋体" w:cs="宋体"/>
                <w:bCs/>
                <w:sz w:val="18"/>
                <w:szCs w:val="18"/>
              </w:rPr>
              <w:t>：从认知、情感和行为上探讨幼儿心理发展过程中的基本规律</w:t>
            </w:r>
          </w:p>
          <w:p w14:paraId="6A1C0C3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模块四</w:t>
            </w:r>
            <w:r>
              <w:rPr>
                <w:rFonts w:hint="eastAsia" w:ascii="宋体" w:hAnsi="宋体" w:cs="宋体"/>
                <w:bCs/>
                <w:sz w:val="18"/>
                <w:szCs w:val="18"/>
              </w:rPr>
              <w:t>：从个性心理倾向性和个性心理特征的角度分析气质、性格、能力等个性及社会性的发展</w:t>
            </w:r>
          </w:p>
          <w:p w14:paraId="68CA8FD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模块五</w:t>
            </w:r>
            <w:r>
              <w:rPr>
                <w:rFonts w:hint="eastAsia" w:ascii="宋体" w:hAnsi="宋体" w:cs="宋体"/>
                <w:bCs/>
                <w:sz w:val="18"/>
                <w:szCs w:val="18"/>
              </w:rPr>
              <w:t>：幼儿心理健康发展的概述</w:t>
            </w:r>
          </w:p>
          <w:p w14:paraId="71708522">
            <w:pPr>
              <w:pageBreakBefore w:val="0"/>
              <w:kinsoku/>
              <w:wordWrap/>
              <w:overflowPunct/>
              <w:topLinePunct w:val="0"/>
              <w:bidi w:val="0"/>
              <w:spacing w:line="360" w:lineRule="exact"/>
              <w:rPr>
                <w:rFonts w:ascii="宋体" w:hAnsi="宋体" w:cs="宋体"/>
                <w:bCs/>
                <w:sz w:val="18"/>
                <w:szCs w:val="18"/>
              </w:rPr>
            </w:pPr>
          </w:p>
        </w:tc>
        <w:tc>
          <w:tcPr>
            <w:tcW w:w="2322" w:type="dxa"/>
            <w:shd w:val="clear" w:color="auto" w:fill="auto"/>
          </w:tcPr>
          <w:p w14:paraId="7C8FA59F">
            <w:pPr>
              <w:pStyle w:val="6"/>
              <w:keepNext w:val="0"/>
              <w:keepLines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color w:val="auto"/>
                <w:sz w:val="18"/>
                <w:szCs w:val="18"/>
              </w:rPr>
              <w:t>教学模式</w:t>
            </w:r>
            <w:r>
              <w:rPr>
                <w:rFonts w:hint="eastAsia" w:ascii="宋体" w:hAnsi="宋体" w:cs="宋体"/>
                <w:b w:val="0"/>
                <w:bCs/>
                <w:color w:val="auto"/>
                <w:sz w:val="18"/>
                <w:szCs w:val="18"/>
              </w:rPr>
              <w:t>：理论课教学基于“以学生为中心”的教学理念，采取“导新课－学新知－品案例－思问题－拓知识”五位一体的教学模式，将授课内容与学生兴趣相结合，达到良好的教学效果。</w:t>
            </w:r>
          </w:p>
          <w:p w14:paraId="6E2AC8E4">
            <w:pPr>
              <w:pageBreakBefore w:val="0"/>
              <w:widowControl/>
              <w:kinsoku/>
              <w:wordWrap/>
              <w:overflowPunct/>
              <w:topLinePunct w:val="0"/>
              <w:bidi w:val="0"/>
              <w:spacing w:line="360" w:lineRule="exact"/>
              <w:jc w:val="left"/>
              <w:rPr>
                <w:rFonts w:ascii="宋体" w:hAnsi="宋体" w:cs="宋体"/>
                <w:bCs/>
                <w:sz w:val="18"/>
                <w:szCs w:val="18"/>
              </w:rPr>
            </w:pPr>
            <w:r>
              <w:rPr>
                <w:rFonts w:hint="eastAsia" w:ascii="宋体" w:hAnsi="宋体" w:cs="宋体"/>
                <w:b/>
                <w:sz w:val="18"/>
                <w:szCs w:val="18"/>
              </w:rPr>
              <w:t>教学方法</w:t>
            </w:r>
            <w:r>
              <w:rPr>
                <w:rFonts w:hint="eastAsia" w:ascii="宋体" w:hAnsi="宋体" w:cs="宋体"/>
                <w:bCs/>
                <w:sz w:val="18"/>
                <w:szCs w:val="18"/>
              </w:rPr>
              <w:t>：采用讲解法、讨论法、实例分析法、课堂互动法等。</w:t>
            </w:r>
          </w:p>
          <w:p w14:paraId="24A0E0E8">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4065E84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评价建议</w:t>
            </w:r>
            <w:r>
              <w:rPr>
                <w:rFonts w:hint="eastAsia" w:ascii="宋体" w:hAnsi="宋体" w:cs="宋体"/>
                <w:bCs/>
                <w:sz w:val="18"/>
                <w:szCs w:val="18"/>
              </w:rPr>
              <w:t>：由教师根据学生的课堂表现、课堂互动和考勤情况综合评定，占期末总成绩的30%；期末成绩占总成绩的70%。</w:t>
            </w:r>
          </w:p>
        </w:tc>
      </w:tr>
      <w:tr w14:paraId="126E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shd w:val="clear" w:color="auto" w:fill="auto"/>
            <w:vAlign w:val="center"/>
          </w:tcPr>
          <w:p w14:paraId="385F8FB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学前儿童卫生与保健</w:t>
            </w:r>
          </w:p>
        </w:tc>
        <w:tc>
          <w:tcPr>
            <w:tcW w:w="2700" w:type="dxa"/>
            <w:shd w:val="clear" w:color="auto" w:fill="auto"/>
          </w:tcPr>
          <w:p w14:paraId="656133F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1.知识目标</w:t>
            </w:r>
            <w:r>
              <w:rPr>
                <w:rFonts w:hint="eastAsia" w:ascii="宋体" w:hAnsi="宋体" w:cs="宋体"/>
                <w:bCs/>
                <w:sz w:val="18"/>
                <w:szCs w:val="18"/>
              </w:rPr>
              <w:t>：</w:t>
            </w:r>
          </w:p>
          <w:p w14:paraId="6C14CB1E">
            <w:pPr>
              <w:pageBreakBefore w:val="0"/>
              <w:kinsoku/>
              <w:wordWrap/>
              <w:overflowPunct/>
              <w:topLinePunct w:val="0"/>
              <w:bidi w:val="0"/>
              <w:spacing w:line="360" w:lineRule="exact"/>
              <w:rPr>
                <w:rFonts w:ascii="宋体" w:hAnsi="宋体" w:cs="宋体"/>
                <w:sz w:val="18"/>
                <w:szCs w:val="18"/>
                <w:shd w:val="clear" w:color="auto" w:fill="FFFFFF"/>
              </w:rPr>
            </w:pPr>
            <w:r>
              <w:rPr>
                <w:rFonts w:hint="eastAsia" w:ascii="宋体" w:hAnsi="宋体" w:cs="宋体"/>
                <w:sz w:val="18"/>
                <w:szCs w:val="18"/>
                <w:shd w:val="clear" w:color="auto" w:fill="FFFFFF"/>
              </w:rPr>
              <w:t>（1）帮助学生全面掌握学前儿童解剖生理特点以及身体发展的规律，系统了解学前儿童常见心理卫生问题及教育对策，掌握营养学基础知识；</w:t>
            </w:r>
          </w:p>
          <w:p w14:paraId="75B6524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shd w:val="clear" w:color="auto" w:fill="FFFFFF"/>
              </w:rPr>
              <w:t>（2）了解托幼机构的膳食管理，熟悉教育环境创设及教育过程中的卫生要求，了解学前儿童常见疾病的有关知识及基本急救措施等。</w:t>
            </w:r>
          </w:p>
          <w:p w14:paraId="1A92BA0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2.能力目标</w:t>
            </w:r>
            <w:r>
              <w:rPr>
                <w:rFonts w:hint="eastAsia" w:ascii="宋体" w:hAnsi="宋体" w:cs="宋体"/>
                <w:bCs/>
                <w:sz w:val="18"/>
                <w:szCs w:val="18"/>
              </w:rPr>
              <w:t>：</w:t>
            </w:r>
          </w:p>
          <w:p w14:paraId="1FEFCFDE">
            <w:pPr>
              <w:pageBreakBefore w:val="0"/>
              <w:kinsoku/>
              <w:wordWrap/>
              <w:overflowPunct/>
              <w:topLinePunct w:val="0"/>
              <w:bidi w:val="0"/>
              <w:spacing w:line="360" w:lineRule="exact"/>
              <w:rPr>
                <w:rFonts w:ascii="宋体" w:hAnsi="宋体" w:cs="宋体"/>
                <w:sz w:val="18"/>
                <w:szCs w:val="18"/>
                <w:shd w:val="clear" w:color="auto" w:fill="FFFFFF"/>
              </w:rPr>
            </w:pPr>
            <w:r>
              <w:rPr>
                <w:rFonts w:hint="eastAsia" w:ascii="宋体" w:hAnsi="宋体" w:cs="宋体"/>
                <w:sz w:val="18"/>
                <w:szCs w:val="18"/>
                <w:shd w:val="clear" w:color="auto" w:fill="FFFFFF"/>
              </w:rPr>
              <w:t>帮助学生具有从事学前儿童卫生保健实践活动的技术和能力。使其能够运用所学到的理论和原理知识分析和解决学前儿童卫生保健实践中存在的各类实际问题，促进学生职业能力和职业素养的养成。</w:t>
            </w:r>
          </w:p>
          <w:p w14:paraId="455BAF6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3.素质目标</w:t>
            </w:r>
            <w:r>
              <w:rPr>
                <w:rFonts w:hint="eastAsia" w:ascii="宋体" w:hAnsi="宋体" w:cs="宋体"/>
                <w:bCs/>
                <w:sz w:val="18"/>
                <w:szCs w:val="18"/>
              </w:rPr>
              <w:t>：</w:t>
            </w:r>
          </w:p>
          <w:p w14:paraId="3DF0BBB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shd w:val="clear" w:color="auto" w:fill="FFFFFF"/>
              </w:rPr>
              <w:t>帮助学生科学的健康观，提高对学前儿童卫生保健问题的思想认识，关注学前儿童良好卫生习惯的养成，提高对学前儿童安全保护的重视程度，养成按照保育要求认真工作的态度。</w:t>
            </w:r>
          </w:p>
        </w:tc>
        <w:tc>
          <w:tcPr>
            <w:tcW w:w="2618" w:type="dxa"/>
            <w:shd w:val="clear" w:color="auto" w:fill="auto"/>
          </w:tcPr>
          <w:p w14:paraId="485FFAF0">
            <w:pPr>
              <w:pageBreakBefore w:val="0"/>
              <w:kinsoku/>
              <w:wordWrap/>
              <w:overflowPunct/>
              <w:topLinePunct w:val="0"/>
              <w:bidi w:val="0"/>
              <w:spacing w:line="360" w:lineRule="exact"/>
              <w:rPr>
                <w:rFonts w:ascii="宋体" w:hAnsi="宋体" w:cs="宋体"/>
                <w:sz w:val="18"/>
                <w:szCs w:val="18"/>
              </w:rPr>
            </w:pPr>
            <w:r>
              <w:rPr>
                <w:rFonts w:hint="eastAsia" w:ascii="宋体" w:hAnsi="宋体" w:cs="宋体"/>
                <w:b/>
                <w:sz w:val="18"/>
                <w:szCs w:val="18"/>
              </w:rPr>
              <w:t>模块一</w:t>
            </w:r>
            <w:r>
              <w:rPr>
                <w:rFonts w:hint="eastAsia" w:ascii="宋体" w:hAnsi="宋体" w:cs="宋体"/>
                <w:bCs/>
                <w:sz w:val="18"/>
                <w:szCs w:val="18"/>
              </w:rPr>
              <w:t>：</w:t>
            </w:r>
            <w:r>
              <w:rPr>
                <w:rFonts w:hint="eastAsia" w:ascii="宋体" w:hAnsi="宋体" w:cs="宋体"/>
                <w:sz w:val="18"/>
                <w:szCs w:val="18"/>
              </w:rPr>
              <w:t>幼儿的生理解剖特点和生长发育规律</w:t>
            </w:r>
          </w:p>
          <w:p w14:paraId="498E679D">
            <w:pPr>
              <w:pageBreakBefore w:val="0"/>
              <w:kinsoku/>
              <w:wordWrap/>
              <w:overflowPunct/>
              <w:topLinePunct w:val="0"/>
              <w:bidi w:val="0"/>
              <w:spacing w:line="360" w:lineRule="exact"/>
              <w:rPr>
                <w:rFonts w:ascii="宋体" w:hAnsi="宋体" w:cs="宋体"/>
                <w:sz w:val="18"/>
                <w:szCs w:val="18"/>
              </w:rPr>
            </w:pPr>
            <w:r>
              <w:rPr>
                <w:rFonts w:hint="eastAsia" w:ascii="宋体" w:hAnsi="宋体" w:cs="宋体"/>
                <w:b/>
                <w:sz w:val="18"/>
                <w:szCs w:val="18"/>
              </w:rPr>
              <w:t>模块二</w:t>
            </w:r>
            <w:r>
              <w:rPr>
                <w:rFonts w:hint="eastAsia" w:ascii="宋体" w:hAnsi="宋体" w:cs="宋体"/>
                <w:bCs/>
                <w:sz w:val="18"/>
                <w:szCs w:val="18"/>
              </w:rPr>
              <w:t>：</w:t>
            </w:r>
            <w:r>
              <w:rPr>
                <w:rFonts w:hint="eastAsia" w:ascii="宋体" w:hAnsi="宋体" w:cs="宋体"/>
                <w:sz w:val="18"/>
                <w:szCs w:val="18"/>
              </w:rPr>
              <w:t>幼儿膳食与营养</w:t>
            </w:r>
          </w:p>
          <w:p w14:paraId="14C4B189">
            <w:pPr>
              <w:pageBreakBefore w:val="0"/>
              <w:kinsoku/>
              <w:wordWrap/>
              <w:overflowPunct/>
              <w:topLinePunct w:val="0"/>
              <w:bidi w:val="0"/>
              <w:spacing w:line="360" w:lineRule="exact"/>
              <w:rPr>
                <w:rFonts w:ascii="宋体" w:hAnsi="宋体" w:cs="宋体"/>
                <w:sz w:val="18"/>
                <w:szCs w:val="18"/>
              </w:rPr>
            </w:pPr>
            <w:r>
              <w:rPr>
                <w:rFonts w:hint="eastAsia" w:ascii="宋体" w:hAnsi="宋体" w:cs="宋体"/>
                <w:b/>
                <w:sz w:val="18"/>
                <w:szCs w:val="18"/>
              </w:rPr>
              <w:t>模块三</w:t>
            </w:r>
            <w:r>
              <w:rPr>
                <w:rFonts w:hint="eastAsia" w:ascii="宋体" w:hAnsi="宋体" w:cs="宋体"/>
                <w:bCs/>
                <w:sz w:val="18"/>
                <w:szCs w:val="18"/>
              </w:rPr>
              <w:t>：</w:t>
            </w:r>
            <w:r>
              <w:rPr>
                <w:rFonts w:hint="eastAsia" w:ascii="宋体" w:hAnsi="宋体" w:cs="宋体"/>
                <w:sz w:val="18"/>
                <w:szCs w:val="18"/>
              </w:rPr>
              <w:t>一日生活环节卫生保健</w:t>
            </w:r>
          </w:p>
          <w:p w14:paraId="1625AE50">
            <w:pPr>
              <w:pageBreakBefore w:val="0"/>
              <w:kinsoku/>
              <w:wordWrap/>
              <w:overflowPunct/>
              <w:topLinePunct w:val="0"/>
              <w:bidi w:val="0"/>
              <w:spacing w:line="360" w:lineRule="exact"/>
              <w:rPr>
                <w:rFonts w:ascii="宋体" w:hAnsi="宋体" w:cs="宋体"/>
                <w:sz w:val="18"/>
                <w:szCs w:val="18"/>
              </w:rPr>
            </w:pPr>
            <w:r>
              <w:rPr>
                <w:rFonts w:hint="eastAsia" w:ascii="宋体" w:hAnsi="宋体" w:cs="宋体"/>
                <w:b/>
                <w:sz w:val="18"/>
                <w:szCs w:val="18"/>
              </w:rPr>
              <w:t>模块四</w:t>
            </w:r>
            <w:r>
              <w:rPr>
                <w:rFonts w:hint="eastAsia" w:ascii="宋体" w:hAnsi="宋体" w:cs="宋体"/>
                <w:bCs/>
                <w:sz w:val="18"/>
                <w:szCs w:val="18"/>
              </w:rPr>
              <w:t>：</w:t>
            </w:r>
            <w:r>
              <w:rPr>
                <w:rFonts w:hint="eastAsia" w:ascii="宋体" w:hAnsi="宋体" w:cs="宋体"/>
                <w:sz w:val="18"/>
                <w:szCs w:val="18"/>
              </w:rPr>
              <w:t>幼儿传染病的预防</w:t>
            </w:r>
          </w:p>
          <w:p w14:paraId="5EC61426">
            <w:pPr>
              <w:pageBreakBefore w:val="0"/>
              <w:kinsoku/>
              <w:wordWrap/>
              <w:overflowPunct/>
              <w:topLinePunct w:val="0"/>
              <w:bidi w:val="0"/>
              <w:spacing w:line="360" w:lineRule="exact"/>
              <w:rPr>
                <w:rFonts w:ascii="宋体" w:hAnsi="宋体" w:cs="宋体"/>
                <w:sz w:val="18"/>
                <w:szCs w:val="18"/>
              </w:rPr>
            </w:pPr>
            <w:r>
              <w:rPr>
                <w:rFonts w:hint="eastAsia" w:ascii="宋体" w:hAnsi="宋体" w:cs="宋体"/>
                <w:b/>
                <w:sz w:val="18"/>
                <w:szCs w:val="18"/>
              </w:rPr>
              <w:t>模块五</w:t>
            </w:r>
            <w:r>
              <w:rPr>
                <w:rFonts w:hint="eastAsia" w:ascii="宋体" w:hAnsi="宋体" w:cs="宋体"/>
                <w:bCs/>
                <w:sz w:val="18"/>
                <w:szCs w:val="18"/>
              </w:rPr>
              <w:t>：</w:t>
            </w:r>
            <w:r>
              <w:rPr>
                <w:rFonts w:hint="eastAsia" w:ascii="宋体" w:hAnsi="宋体" w:cs="宋体"/>
                <w:sz w:val="18"/>
                <w:szCs w:val="18"/>
              </w:rPr>
              <w:t>应对幼儿园的安全教育和意外伤害</w:t>
            </w:r>
          </w:p>
          <w:p w14:paraId="5E5E0A25">
            <w:pPr>
              <w:pageBreakBefore w:val="0"/>
              <w:kinsoku/>
              <w:wordWrap/>
              <w:overflowPunct/>
              <w:topLinePunct w:val="0"/>
              <w:bidi w:val="0"/>
              <w:spacing w:line="360" w:lineRule="exact"/>
              <w:rPr>
                <w:rFonts w:ascii="宋体" w:hAnsi="宋体" w:cs="宋体"/>
                <w:bCs/>
                <w:sz w:val="18"/>
                <w:szCs w:val="18"/>
              </w:rPr>
            </w:pPr>
          </w:p>
        </w:tc>
        <w:tc>
          <w:tcPr>
            <w:tcW w:w="2322" w:type="dxa"/>
            <w:shd w:val="clear" w:color="auto" w:fill="auto"/>
          </w:tcPr>
          <w:p w14:paraId="5A263138">
            <w:pPr>
              <w:pStyle w:val="6"/>
              <w:keepNext w:val="0"/>
              <w:keepLines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color w:val="auto"/>
                <w:sz w:val="18"/>
                <w:szCs w:val="18"/>
              </w:rPr>
              <w:t>教学模式</w:t>
            </w:r>
            <w:r>
              <w:rPr>
                <w:rFonts w:hint="eastAsia" w:ascii="宋体" w:hAnsi="宋体" w:cs="宋体"/>
                <w:b w:val="0"/>
                <w:bCs/>
                <w:color w:val="auto"/>
                <w:sz w:val="18"/>
                <w:szCs w:val="18"/>
              </w:rPr>
              <w:t>：理论课教学基于“以学生为中心”的教学理念，采取“导新课－学新知－品案例－思问题－拓知识”五位一体的教学模式，将授课内容与学生兴趣相结合，达到良好的教学效果。</w:t>
            </w:r>
          </w:p>
          <w:p w14:paraId="56690CE2">
            <w:pPr>
              <w:pageBreakBefore w:val="0"/>
              <w:widowControl/>
              <w:kinsoku/>
              <w:wordWrap/>
              <w:overflowPunct/>
              <w:topLinePunct w:val="0"/>
              <w:bidi w:val="0"/>
              <w:spacing w:line="360" w:lineRule="exact"/>
              <w:jc w:val="left"/>
              <w:rPr>
                <w:rFonts w:ascii="宋体" w:hAnsi="宋体" w:cs="宋体"/>
                <w:bCs/>
                <w:sz w:val="18"/>
                <w:szCs w:val="18"/>
              </w:rPr>
            </w:pPr>
            <w:r>
              <w:rPr>
                <w:rFonts w:hint="eastAsia" w:ascii="宋体" w:hAnsi="宋体" w:cs="宋体"/>
                <w:b/>
                <w:sz w:val="18"/>
                <w:szCs w:val="18"/>
              </w:rPr>
              <w:t>教学方法</w:t>
            </w:r>
            <w:r>
              <w:rPr>
                <w:rFonts w:hint="eastAsia" w:ascii="宋体" w:hAnsi="宋体" w:cs="宋体"/>
                <w:bCs/>
                <w:sz w:val="18"/>
                <w:szCs w:val="18"/>
              </w:rPr>
              <w:t>：采用讲解法、讨论法、实例分析法、课堂互动法等。</w:t>
            </w:r>
          </w:p>
          <w:p w14:paraId="029A045C">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1446BF7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评价建议</w:t>
            </w:r>
            <w:r>
              <w:rPr>
                <w:rFonts w:hint="eastAsia" w:ascii="宋体" w:hAnsi="宋体" w:cs="宋体"/>
                <w:bCs/>
                <w:sz w:val="18"/>
                <w:szCs w:val="18"/>
              </w:rPr>
              <w:t>：由教师根据学生的课堂表现、课堂互动和考勤情况综合评定，占期末总成绩的30%；期末成绩占总成绩的70%。</w:t>
            </w:r>
          </w:p>
        </w:tc>
      </w:tr>
      <w:tr w14:paraId="2928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shd w:val="clear" w:color="auto" w:fill="auto"/>
            <w:vAlign w:val="center"/>
          </w:tcPr>
          <w:p w14:paraId="2A229AF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幼儿绘画</w:t>
            </w:r>
          </w:p>
        </w:tc>
        <w:tc>
          <w:tcPr>
            <w:tcW w:w="2700" w:type="dxa"/>
            <w:shd w:val="clear" w:color="auto" w:fill="auto"/>
          </w:tcPr>
          <w:p w14:paraId="0B26203B">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26AF2A6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（1）了解绘画活动，培养幼儿细致观察周围事物的能力，学会捕捉事物的形状、颜色和细节。</w:t>
            </w:r>
          </w:p>
          <w:p w14:paraId="4F7062F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（2）鼓励幼儿在绘画中发挥想象，创造出独特的画面，培养创新思维。</w:t>
            </w:r>
          </w:p>
          <w:p w14:paraId="011AE2A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2.能力目标</w:t>
            </w:r>
            <w:r>
              <w:rPr>
                <w:rFonts w:hint="eastAsia" w:ascii="宋体" w:hAnsi="宋体" w:cs="宋体"/>
                <w:bCs/>
                <w:sz w:val="18"/>
                <w:szCs w:val="18"/>
              </w:rPr>
              <w:t>：</w:t>
            </w:r>
          </w:p>
          <w:p w14:paraId="7851750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（1）手眼协调：通过握笔、涂色等活动，提高幼儿的手部精细动作能力和手眼协调能力。</w:t>
            </w:r>
          </w:p>
          <w:p w14:paraId="5328B31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（2）绘画技巧：教授基本的绘画技巧，如线条的运用、颜色的混合等，打下良好的绘画基础。</w:t>
            </w:r>
          </w:p>
          <w:p w14:paraId="291D306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（3）创作能力：鼓励幼儿独立创作，从模仿到自主创作，逐步提升他们的艺术表现力。</w:t>
            </w:r>
          </w:p>
          <w:p w14:paraId="188B308B">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3594031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（1）自信心的建立：通过完成绘画作品，增强幼儿的自信心和成就感。</w:t>
            </w:r>
          </w:p>
          <w:p w14:paraId="1368150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（2）耐心与专注力：绘画过程中需要耐心和持续的专注，有助于培养这些重要的心理品质。</w:t>
            </w:r>
          </w:p>
          <w:p w14:paraId="4E06051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（3）文化素养：通过介绍不同文化和历史时期的艺术作品，拓宽幼儿的文化视野。</w:t>
            </w:r>
          </w:p>
          <w:p w14:paraId="1136179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实现这些目标需要教师和家长的共同努力，通过创设适宜的环境、提供多样化的材料和激发兴趣的活动，帮助幼儿在绘画中快乐成长。</w:t>
            </w:r>
          </w:p>
        </w:tc>
        <w:tc>
          <w:tcPr>
            <w:tcW w:w="2618" w:type="dxa"/>
            <w:shd w:val="clear" w:color="auto" w:fill="auto"/>
          </w:tcPr>
          <w:p w14:paraId="06088C2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基础绘画技能：教授幼儿基本的绘画元素，如线条、形状和色彩，以及这些元素如何组合来形成简单的图画。</w:t>
            </w:r>
          </w:p>
          <w:p w14:paraId="2FCA73D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创意绘画：通过游戏、故事等趣味性教学方法，培养幼儿的绘画兴趣和创造力，鼓励他们自由表达和尝试新的绘画技巧。</w:t>
            </w:r>
          </w:p>
          <w:p w14:paraId="6AF0A18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艺术欣赏：通过名画欣赏和艺术启蒙，提高幼儿的审美能力和艺术修养。</w:t>
            </w:r>
          </w:p>
          <w:p w14:paraId="74D7265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跨学科融合：将绘画与其他学科知识相结合，例如自然科学、数学和语言艺术，以增强幼儿的综合学习体验。</w:t>
            </w:r>
          </w:p>
          <w:p w14:paraId="7FFF95F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情感表达：绘画作为一种情感表达的工具，帮助幼儿表达内心的情感和感受，促进情感发展。</w:t>
            </w:r>
          </w:p>
          <w:p w14:paraId="0034AD4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观察力与表现力：通过绘画练习，培养幼儿的观察力和表现力，提高他们对周围世界的感知和理解。</w:t>
            </w:r>
          </w:p>
          <w:p w14:paraId="7AD9009B">
            <w:pPr>
              <w:pageBreakBefore w:val="0"/>
              <w:kinsoku/>
              <w:wordWrap/>
              <w:overflowPunct/>
              <w:topLinePunct w:val="0"/>
              <w:bidi w:val="0"/>
              <w:spacing w:line="360" w:lineRule="exact"/>
              <w:rPr>
                <w:rFonts w:ascii="宋体" w:hAnsi="宋体" w:cs="宋体"/>
                <w:bCs/>
                <w:sz w:val="18"/>
                <w:szCs w:val="18"/>
              </w:rPr>
            </w:pPr>
          </w:p>
        </w:tc>
        <w:tc>
          <w:tcPr>
            <w:tcW w:w="2322" w:type="dxa"/>
            <w:shd w:val="clear" w:color="auto" w:fill="auto"/>
          </w:tcPr>
          <w:p w14:paraId="763422C3">
            <w:pPr>
              <w:pStyle w:val="6"/>
              <w:keepNext w:val="0"/>
              <w:keepLines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教学模式：理论课教学基于“以学生为中心”的教学理念，采取“导新课－学新知－品案例－思问题－拓知识”五位一体的教学模式，将授课内容与学生兴趣相结合，达到良好的教学效果。</w:t>
            </w:r>
          </w:p>
          <w:p w14:paraId="556B2BBF">
            <w:pPr>
              <w:pageBreakBefore w:val="0"/>
              <w:widowControl/>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教学方法：采用讲解法、讨论法、实例分析法、课堂互动法等。</w:t>
            </w:r>
          </w:p>
          <w:p w14:paraId="0AC46F95">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298BCCD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评价建议：由教师根据学生的课堂表现、课堂互动和考勤情况综合评定，占期末总成绩的30%；期末成绩占总成绩的70%。</w:t>
            </w:r>
          </w:p>
        </w:tc>
      </w:tr>
      <w:tr w14:paraId="6830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shd w:val="clear" w:color="auto" w:fill="auto"/>
            <w:vAlign w:val="center"/>
          </w:tcPr>
          <w:p w14:paraId="685C164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幼儿舞蹈</w:t>
            </w:r>
          </w:p>
        </w:tc>
        <w:tc>
          <w:tcPr>
            <w:tcW w:w="2700" w:type="dxa"/>
            <w:shd w:val="clear" w:color="auto" w:fill="auto"/>
          </w:tcPr>
          <w:p w14:paraId="45E4337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1.知识目标</w:t>
            </w:r>
            <w:r>
              <w:rPr>
                <w:rFonts w:hint="eastAsia" w:ascii="宋体" w:hAnsi="宋体" w:cs="宋体"/>
                <w:bCs/>
                <w:sz w:val="18"/>
                <w:szCs w:val="18"/>
              </w:rPr>
              <w:t>：</w:t>
            </w:r>
          </w:p>
          <w:p w14:paraId="5A35AE1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（1）协调性：通过舞蹈动作的学习，提高幼儿的身体协调性和平衡能力。</w:t>
            </w:r>
          </w:p>
          <w:p w14:paraId="73C7CC7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（2）柔韧性：增强幼儿的肌肉柔韧性和关节灵活性，预防运动损伤。</w:t>
            </w:r>
          </w:p>
          <w:p w14:paraId="73E0BF9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（3）节奏感：培养幼儿的音乐感和节奏感，使其能够跟随音乐节奏进行舞蹈。</w:t>
            </w:r>
          </w:p>
          <w:p w14:paraId="32ECF98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2.能力目标</w:t>
            </w:r>
            <w:r>
              <w:rPr>
                <w:rFonts w:hint="eastAsia" w:ascii="宋体" w:hAnsi="宋体" w:cs="宋体"/>
                <w:bCs/>
                <w:sz w:val="18"/>
                <w:szCs w:val="18"/>
              </w:rPr>
              <w:t>：</w:t>
            </w:r>
          </w:p>
          <w:p w14:paraId="4A7C675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观察力：通过模仿和学习舞蹈动作，提升幼儿的观察力和模仿能力。</w:t>
            </w:r>
          </w:p>
          <w:p w14:paraId="13C967E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记忆力：训练幼儿记忆舞蹈动作序列和舞蹈编排，增强记忆力。</w:t>
            </w:r>
          </w:p>
          <w:p w14:paraId="0C23E97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空间感知：通过舞蹈中的方向变化和空间移动，增强幼儿的空间感知能力。</w:t>
            </w:r>
          </w:p>
          <w:p w14:paraId="3D8C11E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3.素质目标</w:t>
            </w:r>
            <w:r>
              <w:rPr>
                <w:rFonts w:hint="eastAsia" w:ascii="宋体" w:hAnsi="宋体" w:cs="宋体"/>
                <w:bCs/>
                <w:sz w:val="18"/>
                <w:szCs w:val="18"/>
              </w:rPr>
              <w:t>：</w:t>
            </w:r>
          </w:p>
          <w:p w14:paraId="5895DB3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自信心：鼓励幼儿在舞蹈表演中展示自己，建立自信心和自我价值感。</w:t>
            </w:r>
          </w:p>
          <w:p w14:paraId="14CA5A8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合作精神：在集体舞蹈活动中培养幼儿的合作意识和团队精神。</w:t>
            </w:r>
          </w:p>
          <w:p w14:paraId="567CEAC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审美情趣：通过欣赏和创作舞蹈，激发幼儿的艺术兴趣和审美情趣。</w:t>
            </w:r>
          </w:p>
        </w:tc>
        <w:tc>
          <w:tcPr>
            <w:tcW w:w="2618" w:type="dxa"/>
            <w:shd w:val="clear" w:color="auto" w:fill="auto"/>
          </w:tcPr>
          <w:p w14:paraId="331FF76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律动：通过律动活动，帮助幼儿理解节奏感和音乐感，同时促进身体协调性和运动能力的发展。</w:t>
            </w:r>
          </w:p>
          <w:p w14:paraId="4B4FA1F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歌表演：结合歌曲进行舞蹈表演，培养幼儿的音乐感知能力和表现力。</w:t>
            </w:r>
          </w:p>
          <w:p w14:paraId="420E870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集体舞：通过集体舞的形式，教授幼儿合作和团队精神，同时提高社交互动能力。</w:t>
            </w:r>
          </w:p>
          <w:p w14:paraId="1029324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表演舞：通过故事性或主题性的舞蹈，培养幼儿的想象力和创造力。</w:t>
            </w:r>
          </w:p>
          <w:p w14:paraId="450A38F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音乐游戏：利用音乐游戏的方式，增加幼儿对音乐的兴趣，同时锻炼听觉和节奏感。</w:t>
            </w:r>
          </w:p>
          <w:p w14:paraId="1349E2A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基本动作：包括基本体态、手位、脚位等，这些是构成复杂舞蹈动作的基础。</w:t>
            </w:r>
          </w:p>
          <w:p w14:paraId="7C9F181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动作组合：将基本动作组合成连贯的舞蹈序列，提高幼儿的动作记忆和执行能力。</w:t>
            </w:r>
          </w:p>
          <w:p w14:paraId="7183C72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舞蹈创编：鼓励幼儿根据自己的理解和创意创作简单的舞蹈，培养创新思维和自我表达能力。</w:t>
            </w:r>
          </w:p>
          <w:p w14:paraId="3AB89ED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舞台表演舞：教授幼儿如何在舞台上进行表演，包括角色扮演、情景模拟等，提高舞台表现力和自信心。</w:t>
            </w:r>
          </w:p>
          <w:p w14:paraId="2AF1891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这些内容不仅有助于幼儿身体的健康发展，还能促进其情感、认知和社会技能的全面提升。</w:t>
            </w:r>
          </w:p>
        </w:tc>
        <w:tc>
          <w:tcPr>
            <w:tcW w:w="2322" w:type="dxa"/>
            <w:shd w:val="clear" w:color="auto" w:fill="auto"/>
          </w:tcPr>
          <w:p w14:paraId="03B3B308">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13589F44">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4229720D">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（3）教学方法：运用案例式教学、启发式教学、讨论式教学、主题演讲、情景教学法等多种互动教学方法进行。</w:t>
            </w:r>
          </w:p>
          <w:p w14:paraId="046E1D2A">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（4）教师要求：任课教师要关注专业前沿，及时把最新的专业资讯融入教学内容。</w:t>
            </w:r>
          </w:p>
          <w:p w14:paraId="3CB3C8D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（5）评价建议：采取学习过程考核评定学习效果。</w:t>
            </w:r>
          </w:p>
        </w:tc>
      </w:tr>
      <w:tr w14:paraId="71F0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shd w:val="clear" w:color="auto" w:fill="auto"/>
            <w:vAlign w:val="center"/>
          </w:tcPr>
          <w:p w14:paraId="0406CFA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钢琴</w:t>
            </w:r>
          </w:p>
        </w:tc>
        <w:tc>
          <w:tcPr>
            <w:tcW w:w="2700" w:type="dxa"/>
            <w:shd w:val="clear" w:color="auto" w:fill="auto"/>
          </w:tcPr>
          <w:p w14:paraId="6ED5274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w:t>
            </w:r>
            <w:r>
              <w:rPr>
                <w:rFonts w:hint="eastAsia" w:ascii="宋体" w:hAnsi="宋体" w:cs="宋体"/>
                <w:b/>
                <w:sz w:val="18"/>
                <w:szCs w:val="18"/>
              </w:rPr>
              <w:t>.知识目标</w:t>
            </w:r>
            <w:r>
              <w:rPr>
                <w:rFonts w:hint="eastAsia" w:ascii="宋体" w:hAnsi="宋体" w:cs="宋体"/>
                <w:bCs/>
                <w:sz w:val="18"/>
                <w:szCs w:val="18"/>
              </w:rPr>
              <w:t>：</w:t>
            </w:r>
          </w:p>
          <w:p w14:paraId="3B56A0F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基础乐理：学习音符、节奏、调式、和弦等基本概念。</w:t>
            </w:r>
          </w:p>
          <w:p w14:paraId="047EE32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高级乐理：掌握复杂的和声学、曲式分析、作曲技巧等。</w:t>
            </w:r>
          </w:p>
          <w:p w14:paraId="593B0D0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2.能力目标</w:t>
            </w:r>
            <w:r>
              <w:rPr>
                <w:rFonts w:hint="eastAsia" w:ascii="宋体" w:hAnsi="宋体" w:cs="宋体"/>
                <w:bCs/>
                <w:sz w:val="18"/>
                <w:szCs w:val="18"/>
              </w:rPr>
              <w:t>：</w:t>
            </w:r>
          </w:p>
          <w:p w14:paraId="0EA43DF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手指技巧：发展灵活、协调的手指动作，能够准确快速地弹奏。</w:t>
            </w:r>
          </w:p>
          <w:p w14:paraId="2D73B09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音乐表现力：学会通过力度、速度、音色等变化表达音乐情感。</w:t>
            </w:r>
          </w:p>
          <w:p w14:paraId="6B202DF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视奏能力：提高阅读新乐谱并即时演奏的能力。</w:t>
            </w:r>
          </w:p>
          <w:p w14:paraId="0DF9CA82">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701A1E3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自律性：培养定期练习的习惯，提高自我管理能力。</w:t>
            </w:r>
          </w:p>
          <w:p w14:paraId="0401DE8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耐心与毅力：面对挑战时不放弃，持续努力直至达到目标。</w:t>
            </w:r>
          </w:p>
          <w:p w14:paraId="52FAC32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团队合作：参与合奏或伴奏活动，学习与他人协作的重要性。</w:t>
            </w:r>
          </w:p>
        </w:tc>
        <w:tc>
          <w:tcPr>
            <w:tcW w:w="2618" w:type="dxa"/>
            <w:shd w:val="clear" w:color="auto" w:fill="auto"/>
          </w:tcPr>
          <w:p w14:paraId="321A1F0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1.基础知识和技能：学生将学习钢琴的基础知识，包括五线谱阅读、音阶、和弦、琶音等，以及基本的演奏技巧，如手型、触键、指法等。</w:t>
            </w:r>
          </w:p>
          <w:p w14:paraId="0FB340D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音乐理论：学生将通过钢琴学习来加深对音乐理论的理解，包括节奏、旋律、和声、调性等。</w:t>
            </w:r>
          </w:p>
          <w:p w14:paraId="615FA49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2.曲目练习：学生将练习不同难度和风格的钢琴曲目，从简单的练习曲到复杂的古典作品，以提高演奏能力和音乐表现力。</w:t>
            </w:r>
          </w:p>
          <w:p w14:paraId="5D78EB3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3.演奏技巧和风格分析：教师会教授如何处理不同音乐作品的技术细节和表达风格，包括动态变化、音色控制和音乐诠释。</w:t>
            </w:r>
          </w:p>
          <w:p w14:paraId="291B77E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4.听觉训练：通过听不同的钢琴作品，学生可以培养音乐耳朵，提高音乐感知和分析能力。</w:t>
            </w:r>
          </w:p>
          <w:p w14:paraId="2221368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5.理论联系实际：学生将学习如何将理论知识应用到实际演奏中，提高综合运用多学科知识的能力。</w:t>
            </w:r>
          </w:p>
          <w:p w14:paraId="434CDB0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6.音乐欣赏：通过聆听和分析经典和当代的钢琴作品，学生可以扩展音乐视野，培养音乐鉴赏力。</w:t>
            </w:r>
          </w:p>
          <w:p w14:paraId="4401A9D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7.表演实践：学生将有机会在课堂上或公开场合进行演奏，以增强自信心和舞台表现力。</w:t>
            </w:r>
          </w:p>
          <w:p w14:paraId="44180BE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8.心理和生理训练：特别是对于即将参与比赛或演出的学生，教师会提供舞台表演心理训练和身体放松技巧。</w:t>
            </w:r>
          </w:p>
          <w:p w14:paraId="356173E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9.个性化教学：教师会根据学生的个人水平和学习进度调整教学计划，采用分层式教学和个性化指导，以满足不同学生的需求</w:t>
            </w:r>
          </w:p>
        </w:tc>
        <w:tc>
          <w:tcPr>
            <w:tcW w:w="2322" w:type="dxa"/>
            <w:shd w:val="clear" w:color="auto" w:fill="auto"/>
          </w:tcPr>
          <w:p w14:paraId="115DA3D3">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4D69D05D">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（2）教学条件</w:t>
            </w:r>
            <w:r>
              <w:rPr>
                <w:rFonts w:hint="eastAsia" w:ascii="宋体" w:hAnsi="宋体" w:cs="宋体"/>
                <w:bCs/>
                <w:sz w:val="18"/>
                <w:szCs w:val="18"/>
              </w:rPr>
              <w:t>：多媒体教室和智慧校园平台。</w:t>
            </w:r>
          </w:p>
          <w:p w14:paraId="38C8D434">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（3）教学方法</w:t>
            </w:r>
            <w:r>
              <w:rPr>
                <w:rFonts w:hint="eastAsia" w:ascii="宋体" w:hAnsi="宋体" w:cs="宋体"/>
                <w:bCs/>
                <w:sz w:val="18"/>
                <w:szCs w:val="18"/>
              </w:rPr>
              <w:t>：运用案例式教学、启发式教学、讨论式教学、主题演讲、情景教学法等多种互动教学方法进行。</w:t>
            </w:r>
          </w:p>
          <w:p w14:paraId="3434F340">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（4）教师要求</w:t>
            </w:r>
            <w:r>
              <w:rPr>
                <w:rFonts w:hint="eastAsia" w:ascii="宋体" w:hAnsi="宋体" w:cs="宋体"/>
                <w:bCs/>
                <w:sz w:val="18"/>
                <w:szCs w:val="18"/>
              </w:rPr>
              <w:t>：任课教师要关注专业前沿，及时把最新的专业资讯融入教学内容。</w:t>
            </w:r>
          </w:p>
          <w:p w14:paraId="158E2E8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（5）评价建议</w:t>
            </w:r>
            <w:r>
              <w:rPr>
                <w:rFonts w:hint="eastAsia" w:ascii="宋体" w:hAnsi="宋体" w:cs="宋体"/>
                <w:bCs/>
                <w:sz w:val="18"/>
                <w:szCs w:val="18"/>
              </w:rPr>
              <w:t>：采取学习过程考核评定学习效果。</w:t>
            </w:r>
          </w:p>
        </w:tc>
      </w:tr>
      <w:tr w14:paraId="28D2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shd w:val="clear" w:color="auto" w:fill="auto"/>
            <w:vAlign w:val="center"/>
          </w:tcPr>
          <w:p w14:paraId="288DFF3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幼儿园教师艺术技能</w:t>
            </w:r>
          </w:p>
        </w:tc>
        <w:tc>
          <w:tcPr>
            <w:tcW w:w="2700" w:type="dxa"/>
            <w:shd w:val="clear" w:color="auto" w:fill="auto"/>
          </w:tcPr>
          <w:p w14:paraId="152ACCD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1.知识目标</w:t>
            </w:r>
            <w:r>
              <w:rPr>
                <w:rFonts w:hint="eastAsia" w:ascii="宋体" w:hAnsi="宋体" w:cs="宋体"/>
                <w:bCs/>
                <w:sz w:val="18"/>
                <w:szCs w:val="18"/>
              </w:rPr>
              <w:t>：</w:t>
            </w:r>
          </w:p>
          <w:p w14:paraId="1442C84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（1）艺术基础知识：了解基本的艺术元素，如颜色、形状、线条、质感等，以及简单的艺术原理，如对比、对称、节奏等。</w:t>
            </w:r>
          </w:p>
          <w:p w14:paraId="30B763B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（2）文化艺术常识：认识不同文化的艺术表现形式，如民族音乐、舞蹈、绘画、手工艺等，增进对多元文化的理解和尊重。</w:t>
            </w:r>
          </w:p>
          <w:p w14:paraId="6577752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（3）艺术欣赏能力：学会欣赏艺术作品，理解作品背后的情感和意义，培养审美情趣。</w:t>
            </w:r>
          </w:p>
          <w:p w14:paraId="6A5B67D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2.能力目标</w:t>
            </w:r>
            <w:r>
              <w:rPr>
                <w:rFonts w:hint="eastAsia" w:ascii="宋体" w:hAnsi="宋体" w:cs="宋体"/>
                <w:bCs/>
                <w:sz w:val="18"/>
                <w:szCs w:val="18"/>
              </w:rPr>
              <w:t>：</w:t>
            </w:r>
          </w:p>
          <w:p w14:paraId="7B636DF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（1）艺术创作能力：通过绘画、手工制作、音乐、舞蹈等活动，激发幼儿的想象力和创造力，培养其独立完成艺术作品的能力。</w:t>
            </w:r>
          </w:p>
          <w:p w14:paraId="582D36E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（2）艺术表现能力：鼓励幼儿用各种艺术形式表达自己的情感和想法，提高其表现力和沟通能力。</w:t>
            </w:r>
          </w:p>
          <w:p w14:paraId="5410F3D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（3）艺术合作能力：在集体艺术活动中，学习与同伴合作，共同创作或表演，培养团队精神和社交技能。</w:t>
            </w:r>
          </w:p>
          <w:p w14:paraId="43255D13">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59DD106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审美素养：通过对美的感受和体验，培养幼儿对美的敏感性和鉴赏力，形成良好的审美观念。</w:t>
            </w:r>
          </w:p>
          <w:p w14:paraId="2679A80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情感态度：通过艺术活动，丰富幼儿的情感世界，培养积极向上、乐观开朗的性格特质。</w:t>
            </w:r>
          </w:p>
        </w:tc>
        <w:tc>
          <w:tcPr>
            <w:tcW w:w="2618" w:type="dxa"/>
            <w:shd w:val="clear" w:color="auto" w:fill="auto"/>
          </w:tcPr>
          <w:p w14:paraId="0237D89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sz w:val="18"/>
                <w:szCs w:val="18"/>
                <w:shd w:val="clear" w:color="auto" w:fill="FFFFFF"/>
              </w:rPr>
              <w:t>幼儿园艺术教育的教学内容通常包括绘画、手工、音乐、舞蹈等多种艺术形式。这些活动不仅能够促进幼儿的审美和创造力发展，还能帮助他们在探索中学习，体验发现的乐趣。教学内容应该根据幼儿的年龄和发展阶段进行适当调整，以确保活动既有挑战性又能适应幼儿的能力水平。</w:t>
            </w:r>
          </w:p>
        </w:tc>
        <w:tc>
          <w:tcPr>
            <w:tcW w:w="2322" w:type="dxa"/>
            <w:shd w:val="clear" w:color="auto" w:fill="auto"/>
          </w:tcPr>
          <w:p w14:paraId="49DDD88A">
            <w:pPr>
              <w:pStyle w:val="6"/>
              <w:keepNext w:val="0"/>
              <w:keepLines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教学模式：理论课教学基于“以学生为中心”的教学理念，采取“导新课－学新知－品案例－思问题－拓知识”五位一体的教学模式，将授课内容与学生兴趣相结合，达到良好的教学效果。</w:t>
            </w:r>
          </w:p>
          <w:p w14:paraId="3E9D7215">
            <w:pPr>
              <w:pageBreakBefore w:val="0"/>
              <w:widowControl/>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教学方法：采用讲解法、讨论法、实例分析法、课堂互动法等。</w:t>
            </w:r>
          </w:p>
          <w:p w14:paraId="0541F795">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66E0395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评价建议：由教师根据学生的课堂表现、课堂互动和考勤情况综合评定，占期末总成绩的30%；期末成绩占总成绩的70%。</w:t>
            </w:r>
          </w:p>
        </w:tc>
      </w:tr>
      <w:tr w14:paraId="0B06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shd w:val="clear" w:color="auto" w:fill="auto"/>
            <w:vAlign w:val="center"/>
          </w:tcPr>
          <w:p w14:paraId="443387A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幼儿教师职业道德与施教能力</w:t>
            </w:r>
          </w:p>
        </w:tc>
        <w:tc>
          <w:tcPr>
            <w:tcW w:w="2700" w:type="dxa"/>
            <w:shd w:val="clear" w:color="auto" w:fill="auto"/>
          </w:tcPr>
          <w:p w14:paraId="4023F9E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4B7F789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学科知识：掌握幼儿发展理论、教育心理学、教学法等相关学科的基础知识。</w:t>
            </w:r>
          </w:p>
          <w:p w14:paraId="57D72A0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课程规划：能够设计和实施适合幼儿年龄和发展水平的教学活动和课程。</w:t>
            </w:r>
          </w:p>
          <w:p w14:paraId="211FD23E">
            <w:pPr>
              <w:pStyle w:val="2"/>
              <w:pageBreakBefore w:val="0"/>
              <w:kinsoku/>
              <w:wordWrap/>
              <w:overflowPunct/>
              <w:topLinePunct w:val="0"/>
              <w:bidi w:val="0"/>
              <w:spacing w:after="0" w:line="360" w:lineRule="exact"/>
              <w:rPr>
                <w:rFonts w:ascii="宋体" w:hAnsi="宋体" w:cs="宋体"/>
                <w:sz w:val="18"/>
                <w:szCs w:val="18"/>
              </w:rPr>
            </w:pPr>
            <w:r>
              <w:rPr>
                <w:rFonts w:hint="eastAsia" w:ascii="宋体" w:hAnsi="宋体" w:cs="宋体"/>
                <w:bCs/>
                <w:sz w:val="18"/>
                <w:szCs w:val="18"/>
              </w:rPr>
              <w:t>2.能力目标：</w:t>
            </w:r>
          </w:p>
          <w:p w14:paraId="158D78C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教学技能：运用多样化的教学方法和策略，促进幼儿在各个领域的学习和发展。</w:t>
            </w:r>
          </w:p>
          <w:p w14:paraId="151DA39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评估能力：有效地观察、记录和评估幼儿的学习进展，为个别化教学提供依据。</w:t>
            </w:r>
          </w:p>
          <w:p w14:paraId="69803B1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沟通技巧：与幼儿、家长和其他教育工作者建立有效的沟通和合作关系。</w:t>
            </w:r>
          </w:p>
          <w:p w14:paraId="77096FF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1C92146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情感素养：培养积极的情感态度，能够理解和支持幼儿的情感需求。</w:t>
            </w:r>
          </w:p>
          <w:p w14:paraId="71AB954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创造力：鼓励创新思维，设计富有创意的教学环境和活动，激发幼儿的想象力和创造力。</w:t>
            </w:r>
          </w:p>
          <w:p w14:paraId="18AF361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适应性：灵活应对不同情况，调整教学策略以满足幼儿的多样化需求。</w:t>
            </w:r>
          </w:p>
          <w:p w14:paraId="7ADF99F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团队合作：与同事协作，共同营造积极的教育环境，分享资源和经验。</w:t>
            </w:r>
          </w:p>
          <w:p w14:paraId="39FEFA3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领导力：在必要时展示领导能力，引导和激励团队成员，推动教育项目的实施。</w:t>
            </w:r>
          </w:p>
        </w:tc>
        <w:tc>
          <w:tcPr>
            <w:tcW w:w="2618" w:type="dxa"/>
            <w:shd w:val="clear" w:color="auto" w:fill="auto"/>
          </w:tcPr>
          <w:p w14:paraId="71E2E6D4">
            <w:pPr>
              <w:pageBreakBefore w:val="0"/>
              <w:kinsoku/>
              <w:wordWrap/>
              <w:overflowPunct/>
              <w:topLinePunct w:val="0"/>
              <w:bidi w:val="0"/>
              <w:spacing w:line="360" w:lineRule="exact"/>
              <w:ind w:firstLine="360" w:firstLineChars="200"/>
              <w:rPr>
                <w:rFonts w:ascii="宋体" w:hAnsi="宋体" w:cs="宋体"/>
                <w:bCs/>
                <w:sz w:val="18"/>
                <w:szCs w:val="18"/>
              </w:rPr>
            </w:pPr>
            <w:r>
              <w:rPr>
                <w:rFonts w:hint="eastAsia" w:ascii="宋体" w:hAnsi="宋体" w:cs="宋体"/>
                <w:bCs/>
                <w:sz w:val="18"/>
                <w:szCs w:val="18"/>
              </w:rPr>
              <w:t>幼儿教师的职业道德是指幼儿教育工作者在从事教育教学活动时应遵守的行为规范和道德准则。这些规范和准则旨在指导教师如何更好地促进幼儿的全面发展，保障幼儿的安全与健康，以及维护教育的公正性和专业性。幼儿教师职业道德的教学内容通常包括以下几个方面：</w:t>
            </w:r>
          </w:p>
          <w:p w14:paraId="0FF9C5B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1.爱岗敬业</w:t>
            </w:r>
          </w:p>
          <w:p w14:paraId="4364A7B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内容解释：幼儿教师应热爱自己的职业，对工作充满热情，不断提升自身的专业知识和技能，以专业的态度对待教育教学工作。</w:t>
            </w:r>
          </w:p>
          <w:p w14:paraId="1126146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2.关爱幼儿</w:t>
            </w:r>
          </w:p>
          <w:p w14:paraId="41F628E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内容解释：教师应以幼儿为中心，尊重每个孩子的个性差异，关心他们的身心发展，提供适宜的教育环境和情感支持。</w:t>
            </w:r>
          </w:p>
          <w:p w14:paraId="0B6E4A0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3.公平公正</w:t>
            </w:r>
          </w:p>
          <w:p w14:paraId="1887F2E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内容解释：教师应公平对待每一个幼儿，不因家庭背景、性别、能力等因素产生偏见，确保教育机会均等。</w:t>
            </w:r>
          </w:p>
          <w:p w14:paraId="01286B9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4.诚信守法</w:t>
            </w:r>
          </w:p>
          <w:p w14:paraId="61FEC36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内容解释：教师应诚实守信，遵守国家法律法规和教育行业的相关规定，不从事违法违规的教育行为。</w:t>
            </w:r>
          </w:p>
          <w:p w14:paraId="2C482A2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5.终身学习</w:t>
            </w:r>
          </w:p>
          <w:p w14:paraId="1FB3C87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内容解释：教师应认识到终身学习的重要性，不断更新教育理念，提升教育教学能力，适应教育发展的需要。</w:t>
            </w:r>
          </w:p>
        </w:tc>
        <w:tc>
          <w:tcPr>
            <w:tcW w:w="2322" w:type="dxa"/>
            <w:shd w:val="clear" w:color="auto" w:fill="auto"/>
          </w:tcPr>
          <w:p w14:paraId="03DF8695">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41BF2C28">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教学方法：运用案例式教学、启发式教学、讨论式教学、主题演讲、情景教学法等多种互动教学方法进行。</w:t>
            </w:r>
          </w:p>
          <w:p w14:paraId="1552308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教学条件：多媒体教室和智慧校园平台。</w:t>
            </w:r>
          </w:p>
          <w:p w14:paraId="32FA193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评价建议：采取学习过程考核评定学习效果。</w:t>
            </w:r>
          </w:p>
        </w:tc>
      </w:tr>
    </w:tbl>
    <w:p w14:paraId="0F28FC09">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2783"/>
        <w:gridCol w:w="2317"/>
        <w:gridCol w:w="2507"/>
      </w:tblGrid>
      <w:tr w14:paraId="7AD6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Align w:val="center"/>
          </w:tcPr>
          <w:p w14:paraId="7E09B937">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783" w:type="dxa"/>
            <w:vAlign w:val="center"/>
          </w:tcPr>
          <w:p w14:paraId="30946B4F">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317" w:type="dxa"/>
            <w:vAlign w:val="center"/>
          </w:tcPr>
          <w:p w14:paraId="65098969">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507" w:type="dxa"/>
            <w:vAlign w:val="center"/>
          </w:tcPr>
          <w:p w14:paraId="1CDEC8FC">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7086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799AE402">
            <w:pPr>
              <w:pageBreakBefore w:val="0"/>
              <w:kinsoku/>
              <w:wordWrap/>
              <w:overflowPunct/>
              <w:topLinePunct w:val="0"/>
              <w:bidi w:val="0"/>
              <w:spacing w:line="360" w:lineRule="exact"/>
              <w:jc w:val="center"/>
              <w:rPr>
                <w:rFonts w:hint="eastAsia" w:ascii="Times New Roman" w:hAnsi="Times New Roman" w:eastAsia="宋体" w:cs="Times New Roman"/>
                <w:b/>
                <w:bCs/>
                <w:kern w:val="2"/>
                <w:sz w:val="18"/>
                <w:szCs w:val="18"/>
                <w:lang w:val="en-US" w:eastAsia="zh-CN" w:bidi="ar-SA"/>
              </w:rPr>
            </w:pPr>
            <w:r>
              <w:rPr>
                <w:rFonts w:hint="eastAsia" w:ascii="宋体" w:hAnsi="宋体" w:cs="宋体"/>
                <w:b/>
                <w:bCs/>
                <w:sz w:val="18"/>
                <w:szCs w:val="18"/>
              </w:rPr>
              <w:t>幼儿园教育活动设计与实施</w:t>
            </w:r>
          </w:p>
        </w:tc>
        <w:tc>
          <w:tcPr>
            <w:tcW w:w="2783" w:type="dxa"/>
            <w:shd w:val="clear" w:color="auto" w:fill="auto"/>
            <w:vAlign w:val="top"/>
          </w:tcPr>
          <w:p w14:paraId="654DECC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1.知识目标</w:t>
            </w:r>
            <w:r>
              <w:rPr>
                <w:rFonts w:hint="eastAsia" w:ascii="宋体" w:hAnsi="宋体" w:cs="宋体"/>
                <w:bCs/>
                <w:sz w:val="18"/>
                <w:szCs w:val="18"/>
              </w:rPr>
              <w:t>：</w:t>
            </w:r>
          </w:p>
          <w:p w14:paraId="22A788B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理解幼儿学习与发展规律；</w:t>
            </w:r>
          </w:p>
          <w:p w14:paraId="425FEA3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熟悉教育活动设计的基本原理；</w:t>
            </w:r>
          </w:p>
          <w:p w14:paraId="2183D1C6">
            <w:pPr>
              <w:pageBreakBefore w:val="0"/>
              <w:kinsoku/>
              <w:wordWrap/>
              <w:overflowPunct/>
              <w:topLinePunct w:val="0"/>
              <w:bidi w:val="0"/>
              <w:spacing w:line="360" w:lineRule="exact"/>
              <w:rPr>
                <w:rStyle w:val="17"/>
                <w:rFonts w:ascii="Segoe UI" w:hAnsi="Segoe UI" w:cs="Segoe UI"/>
                <w:bCs/>
                <w:sz w:val="18"/>
                <w:szCs w:val="18"/>
                <w:shd w:val="clear" w:color="auto" w:fill="FFFFFF"/>
              </w:rPr>
            </w:pPr>
            <w:r>
              <w:rPr>
                <w:rFonts w:hint="eastAsia" w:ascii="宋体" w:hAnsi="宋体" w:cs="宋体"/>
                <w:sz w:val="18"/>
                <w:szCs w:val="18"/>
              </w:rPr>
              <w:t>了解园本课程与生成性活动设计理念。</w:t>
            </w:r>
          </w:p>
          <w:p w14:paraId="2CF9350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2.能力目标</w:t>
            </w:r>
            <w:r>
              <w:rPr>
                <w:rFonts w:hint="eastAsia" w:ascii="宋体" w:hAnsi="宋体" w:cs="宋体"/>
                <w:bCs/>
                <w:sz w:val="18"/>
                <w:szCs w:val="18"/>
              </w:rPr>
              <w:t>：</w:t>
            </w:r>
          </w:p>
          <w:p w14:paraId="2542D696">
            <w:pPr>
              <w:pageBreakBefore w:val="0"/>
              <w:kinsoku/>
              <w:wordWrap/>
              <w:overflowPunct/>
              <w:topLinePunct w:val="0"/>
              <w:bidi w:val="0"/>
              <w:spacing w:line="360" w:lineRule="exact"/>
              <w:rPr>
                <w:rFonts w:ascii="宋体" w:hAnsi="宋体" w:cs="宋体"/>
                <w:sz w:val="18"/>
                <w:szCs w:val="18"/>
              </w:rPr>
            </w:pPr>
            <w:r>
              <w:rPr>
                <w:rFonts w:ascii="宋体" w:hAnsi="宋体" w:cs="宋体"/>
                <w:sz w:val="18"/>
                <w:szCs w:val="18"/>
              </w:rPr>
              <w:t>活动设计技能</w:t>
            </w:r>
            <w:r>
              <w:rPr>
                <w:rFonts w:hint="eastAsia" w:ascii="宋体" w:hAnsi="宋体" w:cs="宋体"/>
                <w:sz w:val="18"/>
                <w:szCs w:val="18"/>
              </w:rPr>
              <w:t>；</w:t>
            </w:r>
          </w:p>
          <w:p w14:paraId="685B26DB">
            <w:pPr>
              <w:pageBreakBefore w:val="0"/>
              <w:kinsoku/>
              <w:wordWrap/>
              <w:overflowPunct/>
              <w:topLinePunct w:val="0"/>
              <w:bidi w:val="0"/>
              <w:spacing w:line="360" w:lineRule="exact"/>
              <w:rPr>
                <w:rFonts w:ascii="宋体" w:hAnsi="宋体" w:cs="宋体"/>
                <w:sz w:val="18"/>
                <w:szCs w:val="18"/>
              </w:rPr>
            </w:pPr>
            <w:r>
              <w:rPr>
                <w:rFonts w:ascii="宋体" w:hAnsi="宋体" w:cs="宋体"/>
                <w:sz w:val="18"/>
                <w:szCs w:val="18"/>
              </w:rPr>
              <w:t>活动实施与指导技能</w:t>
            </w:r>
            <w:r>
              <w:rPr>
                <w:rFonts w:hint="eastAsia" w:ascii="宋体" w:hAnsi="宋体" w:cs="宋体"/>
                <w:sz w:val="18"/>
                <w:szCs w:val="18"/>
              </w:rPr>
              <w:t>；</w:t>
            </w:r>
          </w:p>
          <w:p w14:paraId="2D194BAF">
            <w:pPr>
              <w:pageBreakBefore w:val="0"/>
              <w:kinsoku/>
              <w:wordWrap/>
              <w:overflowPunct/>
              <w:topLinePunct w:val="0"/>
              <w:bidi w:val="0"/>
              <w:spacing w:line="360" w:lineRule="exact"/>
              <w:rPr>
                <w:sz w:val="18"/>
                <w:szCs w:val="18"/>
              </w:rPr>
            </w:pPr>
            <w:r>
              <w:rPr>
                <w:rFonts w:ascii="宋体" w:hAnsi="宋体" w:cs="宋体"/>
                <w:sz w:val="18"/>
                <w:szCs w:val="18"/>
              </w:rPr>
              <w:t>活动评价与反思技能</w:t>
            </w:r>
            <w:r>
              <w:rPr>
                <w:rFonts w:hint="eastAsia" w:ascii="宋体" w:hAnsi="宋体" w:cs="宋体"/>
                <w:sz w:val="18"/>
                <w:szCs w:val="18"/>
              </w:rPr>
              <w:t>。</w:t>
            </w:r>
          </w:p>
          <w:p w14:paraId="1842EA61">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6041EC66">
            <w:pPr>
              <w:pStyle w:val="5"/>
              <w:keepNext w:val="0"/>
              <w:keepLines w:val="0"/>
              <w:pageBreakBefore w:val="0"/>
              <w:widowControl/>
              <w:shd w:val="clear" w:color="auto" w:fill="FFFFFF"/>
              <w:kinsoku/>
              <w:wordWrap/>
              <w:overflowPunct/>
              <w:topLinePunct w:val="0"/>
              <w:bidi w:val="0"/>
              <w:spacing w:before="0" w:after="0" w:line="360" w:lineRule="exact"/>
              <w:outlineLvl w:val="2"/>
              <w:rPr>
                <w:rFonts w:hint="eastAsia" w:ascii="Times New Roman" w:hAnsi="Times New Roman" w:eastAsia="宋体" w:cs="Times New Roman"/>
                <w:b w:val="0"/>
                <w:bCs/>
                <w:kern w:val="2"/>
                <w:sz w:val="18"/>
                <w:szCs w:val="18"/>
                <w:lang w:val="en-US" w:eastAsia="zh-CN" w:bidi="ar-SA"/>
              </w:rPr>
            </w:pPr>
            <w:r>
              <w:rPr>
                <w:rFonts w:ascii="宋体" w:hAnsi="宋体" w:cs="宋体"/>
                <w:b w:val="0"/>
                <w:bCs w:val="0"/>
                <w:sz w:val="18"/>
                <w:szCs w:val="18"/>
              </w:rPr>
              <w:t>培育专业理念与教育情怀</w:t>
            </w:r>
            <w:r>
              <w:rPr>
                <w:rFonts w:hint="eastAsia" w:ascii="宋体" w:hAnsi="宋体" w:cs="宋体"/>
                <w:b w:val="0"/>
                <w:bCs w:val="0"/>
                <w:sz w:val="18"/>
                <w:szCs w:val="18"/>
              </w:rPr>
              <w:t>。</w:t>
            </w:r>
          </w:p>
        </w:tc>
        <w:tc>
          <w:tcPr>
            <w:tcW w:w="2317" w:type="dxa"/>
            <w:shd w:val="clear" w:color="auto" w:fill="auto"/>
            <w:vAlign w:val="top"/>
          </w:tcPr>
          <w:p w14:paraId="19057A7A">
            <w:pPr>
              <w:pStyle w:val="5"/>
              <w:keepNext w:val="0"/>
              <w:keepLines w:val="0"/>
              <w:pageBreakBefore w:val="0"/>
              <w:widowControl/>
              <w:shd w:val="clear" w:color="auto" w:fill="FFFFFF"/>
              <w:kinsoku/>
              <w:wordWrap/>
              <w:overflowPunct/>
              <w:topLinePunct w:val="0"/>
              <w:bidi w:val="0"/>
              <w:spacing w:before="0" w:after="0" w:line="360" w:lineRule="exact"/>
              <w:outlineLvl w:val="2"/>
              <w:rPr>
                <w:rFonts w:ascii="宋体" w:hAnsi="宋体" w:cs="宋体"/>
                <w:b w:val="0"/>
                <w:sz w:val="18"/>
                <w:szCs w:val="18"/>
              </w:rPr>
            </w:pPr>
            <w:r>
              <w:rPr>
                <w:rFonts w:hint="eastAsia" w:ascii="宋体" w:hAnsi="宋体" w:cs="宋体"/>
                <w:b w:val="0"/>
                <w:sz w:val="18"/>
                <w:szCs w:val="18"/>
              </w:rPr>
              <w:t>1.</w:t>
            </w:r>
            <w:r>
              <w:rPr>
                <w:rFonts w:ascii="宋体" w:hAnsi="宋体" w:cs="宋体"/>
                <w:b w:val="0"/>
                <w:sz w:val="18"/>
                <w:szCs w:val="18"/>
              </w:rPr>
              <w:t>基础理论模块：建立活动设计的认知框架</w:t>
            </w:r>
          </w:p>
          <w:p w14:paraId="2642BC10">
            <w:pPr>
              <w:pStyle w:val="5"/>
              <w:keepNext w:val="0"/>
              <w:keepLines w:val="0"/>
              <w:pageBreakBefore w:val="0"/>
              <w:widowControl/>
              <w:shd w:val="clear" w:color="auto" w:fill="FFFFFF"/>
              <w:kinsoku/>
              <w:wordWrap/>
              <w:overflowPunct/>
              <w:topLinePunct w:val="0"/>
              <w:bidi w:val="0"/>
              <w:spacing w:before="0" w:after="0" w:line="360" w:lineRule="exact"/>
              <w:outlineLvl w:val="2"/>
              <w:rPr>
                <w:rFonts w:ascii="宋体" w:hAnsi="宋体" w:cs="宋体"/>
                <w:b w:val="0"/>
                <w:sz w:val="18"/>
                <w:szCs w:val="18"/>
              </w:rPr>
            </w:pPr>
            <w:r>
              <w:rPr>
                <w:rFonts w:hint="eastAsia" w:ascii="宋体" w:hAnsi="宋体" w:cs="宋体"/>
                <w:b w:val="0"/>
                <w:sz w:val="18"/>
                <w:szCs w:val="18"/>
              </w:rPr>
              <w:t>2.</w:t>
            </w:r>
            <w:r>
              <w:rPr>
                <w:rFonts w:ascii="宋体" w:hAnsi="宋体" w:cs="宋体"/>
                <w:b w:val="0"/>
                <w:sz w:val="18"/>
                <w:szCs w:val="18"/>
              </w:rPr>
              <w:t>设计技能模块：全流程活动设计能力培养</w:t>
            </w:r>
          </w:p>
          <w:p w14:paraId="3A99BC32">
            <w:pPr>
              <w:pStyle w:val="5"/>
              <w:keepNext w:val="0"/>
              <w:keepLines w:val="0"/>
              <w:pageBreakBefore w:val="0"/>
              <w:widowControl/>
              <w:shd w:val="clear" w:color="auto" w:fill="FFFFFF"/>
              <w:kinsoku/>
              <w:wordWrap/>
              <w:overflowPunct/>
              <w:topLinePunct w:val="0"/>
              <w:bidi w:val="0"/>
              <w:spacing w:before="0" w:after="0" w:line="360" w:lineRule="exact"/>
              <w:outlineLvl w:val="2"/>
              <w:rPr>
                <w:rFonts w:ascii="宋体" w:hAnsi="宋体" w:cs="宋体"/>
                <w:b w:val="0"/>
                <w:sz w:val="18"/>
                <w:szCs w:val="18"/>
              </w:rPr>
            </w:pPr>
            <w:r>
              <w:rPr>
                <w:rFonts w:hint="eastAsia" w:ascii="宋体" w:hAnsi="宋体" w:cs="宋体"/>
                <w:b w:val="0"/>
                <w:sz w:val="18"/>
                <w:szCs w:val="18"/>
              </w:rPr>
              <w:t>3.</w:t>
            </w:r>
            <w:r>
              <w:rPr>
                <w:rFonts w:ascii="宋体" w:hAnsi="宋体" w:cs="宋体"/>
                <w:b w:val="0"/>
                <w:sz w:val="18"/>
                <w:szCs w:val="18"/>
              </w:rPr>
              <w:t>实践应用模块：从设计到实施的全流程演练</w:t>
            </w:r>
          </w:p>
          <w:p w14:paraId="307D9EEE">
            <w:pPr>
              <w:pStyle w:val="5"/>
              <w:keepNext w:val="0"/>
              <w:keepLines w:val="0"/>
              <w:pageBreakBefore w:val="0"/>
              <w:widowControl/>
              <w:shd w:val="clear" w:color="auto" w:fill="FFFFFF"/>
              <w:kinsoku/>
              <w:wordWrap/>
              <w:overflowPunct/>
              <w:topLinePunct w:val="0"/>
              <w:bidi w:val="0"/>
              <w:spacing w:before="0" w:after="0" w:line="360" w:lineRule="exact"/>
              <w:outlineLvl w:val="2"/>
              <w:rPr>
                <w:rFonts w:ascii="宋体" w:hAnsi="宋体" w:cs="宋体"/>
                <w:b w:val="0"/>
                <w:sz w:val="18"/>
                <w:szCs w:val="18"/>
              </w:rPr>
            </w:pPr>
            <w:r>
              <w:rPr>
                <w:rFonts w:hint="eastAsia" w:ascii="宋体" w:hAnsi="宋体" w:cs="宋体"/>
                <w:b w:val="0"/>
                <w:sz w:val="18"/>
                <w:szCs w:val="18"/>
              </w:rPr>
              <w:t>4.</w:t>
            </w:r>
            <w:r>
              <w:rPr>
                <w:rFonts w:ascii="宋体" w:hAnsi="宋体" w:cs="宋体"/>
                <w:b w:val="0"/>
                <w:sz w:val="18"/>
                <w:szCs w:val="18"/>
              </w:rPr>
              <w:t>评价与反思模块：活动优化与专业成长</w:t>
            </w:r>
          </w:p>
          <w:p w14:paraId="17CCC484">
            <w:pPr>
              <w:pStyle w:val="5"/>
              <w:keepNext w:val="0"/>
              <w:keepLines w:val="0"/>
              <w:pageBreakBefore w:val="0"/>
              <w:widowControl/>
              <w:shd w:val="clear" w:color="auto" w:fill="FFFFFF"/>
              <w:kinsoku/>
              <w:wordWrap/>
              <w:overflowPunct/>
              <w:topLinePunct w:val="0"/>
              <w:bidi w:val="0"/>
              <w:spacing w:before="0" w:after="0" w:line="360" w:lineRule="exact"/>
              <w:outlineLvl w:val="2"/>
              <w:rPr>
                <w:rFonts w:hint="eastAsia" w:ascii="Times New Roman" w:hAnsi="Times New Roman" w:eastAsia="宋体" w:cs="Times New Roman"/>
                <w:b/>
                <w:bCs/>
                <w:kern w:val="2"/>
                <w:sz w:val="18"/>
                <w:szCs w:val="18"/>
                <w:lang w:val="en-US" w:eastAsia="zh-CN" w:bidi="ar-SA"/>
              </w:rPr>
            </w:pPr>
            <w:r>
              <w:rPr>
                <w:rFonts w:hint="eastAsia" w:ascii="宋体" w:hAnsi="宋体" w:cs="宋体"/>
                <w:b w:val="0"/>
                <w:sz w:val="18"/>
                <w:szCs w:val="18"/>
              </w:rPr>
              <w:t>5.</w:t>
            </w:r>
            <w:r>
              <w:rPr>
                <w:rFonts w:ascii="宋体" w:hAnsi="宋体" w:cs="宋体"/>
                <w:b w:val="0"/>
                <w:sz w:val="18"/>
                <w:szCs w:val="18"/>
              </w:rPr>
              <w:t>拓展提升模块：前沿理念与跨界融合</w:t>
            </w:r>
          </w:p>
        </w:tc>
        <w:tc>
          <w:tcPr>
            <w:tcW w:w="2507" w:type="dxa"/>
            <w:shd w:val="clear" w:color="auto" w:fill="auto"/>
            <w:vAlign w:val="top"/>
          </w:tcPr>
          <w:p w14:paraId="6AEB240C">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35EBC19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教学方法：运用讨论法、情境教学法、任务驱动教学法、成果导向教学法、启发式教学法等，全面提升课堂效率和学生学习兴趣。</w:t>
            </w:r>
          </w:p>
          <w:p w14:paraId="08617544">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教学条件：多媒体教室、智慧校园平台、幼教公众号</w:t>
            </w:r>
          </w:p>
          <w:p w14:paraId="2C5C1E2A">
            <w:pPr>
              <w:pageBreakBefore w:val="0"/>
              <w:kinsoku/>
              <w:wordWrap/>
              <w:overflowPunct/>
              <w:topLinePunct w:val="0"/>
              <w:bidi w:val="0"/>
              <w:spacing w:line="360" w:lineRule="exact"/>
              <w:rPr>
                <w:rFonts w:hint="eastAsia" w:ascii="Times New Roman" w:hAnsi="Times New Roman" w:eastAsia="宋体" w:cs="Times New Roman"/>
                <w:bCs/>
                <w:kern w:val="2"/>
                <w:sz w:val="18"/>
                <w:szCs w:val="18"/>
                <w:lang w:val="en-US" w:eastAsia="zh-CN" w:bidi="ar-SA"/>
              </w:rPr>
            </w:pPr>
            <w:r>
              <w:rPr>
                <w:rFonts w:hint="eastAsia" w:ascii="宋体" w:hAnsi="宋体" w:cs="宋体"/>
                <w:bCs/>
                <w:sz w:val="18"/>
                <w:szCs w:val="18"/>
              </w:rPr>
              <w:t>评价建议：考勤+课堂表现+日常作业=平时成绩30%+期末考试成绩70%。将课前、课中、课后三个阶段的学习表现纳入过程考核，注重第二课堂学习成果增值性评价，综合评定学生学习效果。</w:t>
            </w:r>
          </w:p>
        </w:tc>
      </w:tr>
      <w:tr w14:paraId="2E4F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2D810BA2">
            <w:pPr>
              <w:pageBreakBefore w:val="0"/>
              <w:kinsoku/>
              <w:wordWrap/>
              <w:overflowPunct/>
              <w:topLinePunct w:val="0"/>
              <w:bidi w:val="0"/>
              <w:spacing w:line="360" w:lineRule="exact"/>
              <w:jc w:val="center"/>
              <w:rPr>
                <w:rFonts w:ascii="宋体" w:hAnsi="宋体" w:eastAsia="宋体" w:cs="宋体"/>
                <w:b/>
                <w:bCs/>
                <w:kern w:val="2"/>
                <w:sz w:val="18"/>
                <w:szCs w:val="18"/>
                <w:lang w:val="en-US" w:eastAsia="zh-CN" w:bidi="ar-SA"/>
              </w:rPr>
            </w:pPr>
            <w:r>
              <w:rPr>
                <w:rFonts w:hint="eastAsia" w:ascii="宋体" w:hAnsi="宋体" w:cs="宋体"/>
                <w:b/>
                <w:bCs/>
                <w:sz w:val="18"/>
                <w:szCs w:val="18"/>
              </w:rPr>
              <w:t>幼儿园课程</w:t>
            </w:r>
          </w:p>
        </w:tc>
        <w:tc>
          <w:tcPr>
            <w:tcW w:w="2783" w:type="dxa"/>
            <w:shd w:val="clear" w:color="auto" w:fill="auto"/>
            <w:vAlign w:val="top"/>
          </w:tcPr>
          <w:p w14:paraId="753896E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1.知识目标</w:t>
            </w:r>
            <w:r>
              <w:rPr>
                <w:rFonts w:hint="eastAsia" w:ascii="宋体" w:hAnsi="宋体" w:cs="宋体"/>
                <w:bCs/>
                <w:sz w:val="18"/>
                <w:szCs w:val="18"/>
              </w:rPr>
              <w:t>：</w:t>
            </w:r>
          </w:p>
          <w:p w14:paraId="3A6C317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对幼儿园课程的基本概念、基本理论能够准确地表述、辨别或再认。深刻领会幼儿园课程的基本要素，相关理论、原理、原则的基本内涵，能够达到举例说明，归纳核心内容，正确阐释。</w:t>
            </w:r>
          </w:p>
          <w:p w14:paraId="117344D9">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471D79FF">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了解当代有代表性的课程方案及早期教育课程改革和发展趋势。尝试参与课程设计，将教育理念转化为教育实践的能力。了解园本课程的内涵和基本开发流程。</w:t>
            </w:r>
          </w:p>
          <w:p w14:paraId="6ECC298F">
            <w:pPr>
              <w:pStyle w:val="20"/>
              <w:pageBreakBefore w:val="0"/>
              <w:kinsoku/>
              <w:wordWrap/>
              <w:overflowPunct/>
              <w:topLinePunct w:val="0"/>
              <w:bidi w:val="0"/>
              <w:spacing w:line="360" w:lineRule="exact"/>
              <w:ind w:firstLine="0" w:firstLineChars="0"/>
              <w:rPr>
                <w:bCs/>
                <w:kern w:val="2"/>
                <w:sz w:val="18"/>
                <w:szCs w:val="18"/>
              </w:rPr>
            </w:pPr>
            <w:r>
              <w:rPr>
                <w:rFonts w:hint="eastAsia"/>
                <w:b/>
                <w:kern w:val="2"/>
                <w:sz w:val="18"/>
                <w:szCs w:val="18"/>
              </w:rPr>
              <w:t>3.素质目标</w:t>
            </w:r>
            <w:r>
              <w:rPr>
                <w:rFonts w:hint="eastAsia"/>
                <w:bCs/>
                <w:kern w:val="2"/>
                <w:sz w:val="18"/>
                <w:szCs w:val="18"/>
              </w:rPr>
              <w:t>：</w:t>
            </w:r>
          </w:p>
          <w:p w14:paraId="182A76F7">
            <w:pPr>
              <w:pStyle w:val="20"/>
              <w:pageBreakBefore w:val="0"/>
              <w:kinsoku/>
              <w:wordWrap/>
              <w:overflowPunct/>
              <w:topLinePunct w:val="0"/>
              <w:bidi w:val="0"/>
              <w:spacing w:line="360" w:lineRule="exact"/>
              <w:ind w:firstLine="0" w:firstLineChars="0"/>
              <w:rPr>
                <w:rFonts w:ascii="宋体" w:hAnsi="宋体" w:eastAsia="宋体" w:cs="宋体"/>
                <w:kern w:val="0"/>
                <w:sz w:val="18"/>
                <w:szCs w:val="18"/>
                <w:lang w:val="en-US" w:eastAsia="zh-CN" w:bidi="ar-SA"/>
              </w:rPr>
            </w:pPr>
            <w:r>
              <w:rPr>
                <w:rFonts w:hint="eastAsia"/>
                <w:sz w:val="18"/>
                <w:szCs w:val="18"/>
              </w:rPr>
              <w:t>能够把学习的原理、原则、方法等运用到具体情境中，也就是运用所学习的理论来分析、说明、解决学前教育中的实际问题。</w:t>
            </w:r>
          </w:p>
        </w:tc>
        <w:tc>
          <w:tcPr>
            <w:tcW w:w="2317" w:type="dxa"/>
            <w:shd w:val="clear" w:color="auto" w:fill="auto"/>
            <w:vAlign w:val="top"/>
          </w:tcPr>
          <w:p w14:paraId="5934E884">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模块一：</w:t>
            </w:r>
            <w:r>
              <w:rPr>
                <w:rFonts w:hint="eastAsia" w:ascii="宋体" w:hAnsi="宋体" w:cs="宋体"/>
                <w:sz w:val="18"/>
                <w:szCs w:val="18"/>
              </w:rPr>
              <w:t>幼儿园课程的基本概念及原理</w:t>
            </w:r>
          </w:p>
          <w:p w14:paraId="1EA399E4">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模块二：</w:t>
            </w:r>
            <w:r>
              <w:rPr>
                <w:rFonts w:hint="eastAsia" w:ascii="宋体" w:hAnsi="宋体" w:cs="宋体"/>
                <w:sz w:val="18"/>
                <w:szCs w:val="18"/>
              </w:rPr>
              <w:t>幼儿园课程的目标</w:t>
            </w:r>
          </w:p>
          <w:p w14:paraId="6E541178">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模块三：</w:t>
            </w:r>
            <w:r>
              <w:rPr>
                <w:rFonts w:hint="eastAsia" w:ascii="宋体" w:hAnsi="宋体" w:cs="宋体"/>
                <w:sz w:val="18"/>
                <w:szCs w:val="18"/>
              </w:rPr>
              <w:t>幼儿园课程的内容</w:t>
            </w:r>
          </w:p>
          <w:p w14:paraId="00E211AB">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模块四：</w:t>
            </w:r>
            <w:r>
              <w:rPr>
                <w:rFonts w:hint="eastAsia" w:ascii="宋体" w:hAnsi="宋体" w:cs="宋体"/>
                <w:sz w:val="18"/>
                <w:szCs w:val="18"/>
              </w:rPr>
              <w:t>幼儿园课程的组织实施</w:t>
            </w:r>
          </w:p>
          <w:p w14:paraId="50A8CAB4">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模块五：</w:t>
            </w:r>
            <w:r>
              <w:rPr>
                <w:rFonts w:hint="eastAsia" w:ascii="宋体" w:hAnsi="宋体" w:cs="宋体"/>
                <w:sz w:val="18"/>
                <w:szCs w:val="18"/>
              </w:rPr>
              <w:t>幼儿园课程的评价</w:t>
            </w:r>
          </w:p>
          <w:p w14:paraId="4AB2A63F">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模块六：</w:t>
            </w:r>
            <w:r>
              <w:rPr>
                <w:rFonts w:hint="eastAsia" w:ascii="宋体" w:hAnsi="宋体" w:cs="宋体"/>
                <w:sz w:val="18"/>
                <w:szCs w:val="18"/>
              </w:rPr>
              <w:t>当代有代表性的课程方案早期教育课程改革和发展趋势</w:t>
            </w:r>
          </w:p>
          <w:p w14:paraId="65C825BC">
            <w:pPr>
              <w:pageBreakBefore w:val="0"/>
              <w:kinsoku/>
              <w:wordWrap/>
              <w:overflowPunct/>
              <w:topLinePunct w:val="0"/>
              <w:bidi w:val="0"/>
              <w:spacing w:line="360" w:lineRule="exact"/>
              <w:rPr>
                <w:rFonts w:ascii="宋体" w:hAnsi="宋体" w:eastAsia="宋体" w:cs="宋体"/>
                <w:kern w:val="2"/>
                <w:sz w:val="18"/>
                <w:szCs w:val="18"/>
                <w:lang w:val="en-US" w:eastAsia="zh-CN" w:bidi="ar-SA"/>
              </w:rPr>
            </w:pPr>
            <w:r>
              <w:rPr>
                <w:rFonts w:hint="eastAsia" w:ascii="宋体" w:hAnsi="宋体" w:cs="宋体"/>
                <w:bCs/>
                <w:sz w:val="18"/>
                <w:szCs w:val="18"/>
              </w:rPr>
              <w:t>模块七：</w:t>
            </w:r>
            <w:r>
              <w:rPr>
                <w:rFonts w:hint="eastAsia" w:ascii="宋体" w:hAnsi="宋体" w:cs="宋体"/>
                <w:sz w:val="18"/>
                <w:szCs w:val="18"/>
              </w:rPr>
              <w:t>园本课程的开发和利用</w:t>
            </w:r>
          </w:p>
        </w:tc>
        <w:tc>
          <w:tcPr>
            <w:tcW w:w="2507" w:type="dxa"/>
            <w:shd w:val="clear" w:color="auto" w:fill="auto"/>
            <w:vAlign w:val="top"/>
          </w:tcPr>
          <w:p w14:paraId="6D0B7489">
            <w:pPr>
              <w:pStyle w:val="6"/>
              <w:keepNext w:val="0"/>
              <w:keepLines w:val="0"/>
              <w:pageBreakBefore w:val="0"/>
              <w:kinsoku/>
              <w:wordWrap/>
              <w:overflowPunct/>
              <w:topLinePunct w:val="0"/>
              <w:bidi w:val="0"/>
              <w:spacing w:line="360" w:lineRule="exact"/>
              <w:outlineLvl w:val="3"/>
              <w:rPr>
                <w:color w:val="auto"/>
                <w:sz w:val="18"/>
                <w:szCs w:val="18"/>
              </w:rPr>
            </w:pPr>
            <w:r>
              <w:rPr>
                <w:rFonts w:hint="eastAsia" w:ascii="宋体" w:hAnsi="宋体" w:cs="宋体"/>
                <w:b w:val="0"/>
                <w:bCs/>
                <w:color w:val="auto"/>
                <w:sz w:val="18"/>
                <w:szCs w:val="18"/>
              </w:rPr>
              <w:t>教学模式：理论课教学基于“以学生为中心”的教学理念，采取“导新课－学新知－品案例－思问题－拓知识”五位一体的教学模式，将授课内容与学生兴趣相结合，达到良好的教学效果。</w:t>
            </w:r>
          </w:p>
          <w:p w14:paraId="78CCC174">
            <w:pPr>
              <w:pageBreakBefore w:val="0"/>
              <w:widowControl/>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教学方法：采用讲解法、讨论法、实例分析法、课堂互动法等。</w:t>
            </w:r>
          </w:p>
          <w:p w14:paraId="1B816147">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04DB4C28">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评价建议：由教师根据学生的课堂表现、课堂互动和考勤情况综合评定，占期末总成绩的30%；期末成绩占70%。将课前、课中、课后三个阶段的学习表现纳入过程考核，注重第二课堂学习成果增值性评价，综合评定学生学习效果。</w:t>
            </w:r>
          </w:p>
        </w:tc>
      </w:tr>
      <w:tr w14:paraId="5E97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1EBE8C97">
            <w:pPr>
              <w:pageBreakBefore w:val="0"/>
              <w:kinsoku/>
              <w:wordWrap/>
              <w:overflowPunct/>
              <w:topLinePunct w:val="0"/>
              <w:bidi w:val="0"/>
              <w:spacing w:line="360" w:lineRule="exact"/>
              <w:jc w:val="center"/>
              <w:rPr>
                <w:rFonts w:ascii="宋体" w:hAnsi="宋体" w:eastAsia="宋体" w:cs="宋体"/>
                <w:b/>
                <w:bCs/>
                <w:kern w:val="2"/>
                <w:sz w:val="18"/>
                <w:szCs w:val="18"/>
                <w:lang w:val="en-US" w:eastAsia="zh-CN" w:bidi="ar-SA"/>
              </w:rPr>
            </w:pPr>
            <w:r>
              <w:rPr>
                <w:rFonts w:hint="eastAsia" w:ascii="宋体" w:hAnsi="宋体" w:cs="宋体"/>
                <w:b/>
                <w:bCs/>
                <w:sz w:val="18"/>
                <w:szCs w:val="18"/>
              </w:rPr>
              <w:t>幼儿园环境创设</w:t>
            </w:r>
          </w:p>
        </w:tc>
        <w:tc>
          <w:tcPr>
            <w:tcW w:w="2783" w:type="dxa"/>
            <w:shd w:val="clear" w:color="auto" w:fill="auto"/>
            <w:vAlign w:val="top"/>
          </w:tcPr>
          <w:p w14:paraId="56F9E4D8">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48173A1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了解幼儿园环境创设工作的主要内容，充分认识创设幼儿园教育环境的意义，理解环境创设与幼儿园课程的关系</w:t>
            </w:r>
          </w:p>
          <w:p w14:paraId="15BC7D84">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5DAF32B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深刻认识环境对幼儿发展的重要意义，树立正确的幼儿环境创设观念；使学生掌握幼儿园各类教育环境创设的要点，并能合理利用各种材料设计制作各类玩教具美化育人环境；使学生掌握空间环境创设的基本技能，掌握设计与制作幼儿园墙饰、玩教具的基本方法</w:t>
            </w:r>
          </w:p>
          <w:p w14:paraId="2B69A6E9">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735026B3">
            <w:pPr>
              <w:pageBreakBefore w:val="0"/>
              <w:kinsoku/>
              <w:wordWrap/>
              <w:overflowPunct/>
              <w:topLinePunct w:val="0"/>
              <w:bidi w:val="0"/>
              <w:spacing w:line="360" w:lineRule="exact"/>
              <w:rPr>
                <w:rFonts w:ascii="Times New Roman" w:hAnsi="Times New Roman" w:eastAsia="宋体" w:cs="Times New Roman"/>
                <w:bCs/>
                <w:kern w:val="2"/>
                <w:sz w:val="18"/>
                <w:szCs w:val="18"/>
                <w:lang w:val="en-US" w:eastAsia="zh-CN" w:bidi="ar-SA"/>
              </w:rPr>
            </w:pPr>
            <w:r>
              <w:rPr>
                <w:rFonts w:hint="eastAsia" w:ascii="宋体" w:hAnsi="宋体" w:cs="宋体"/>
                <w:sz w:val="18"/>
                <w:szCs w:val="18"/>
              </w:rPr>
              <w:t>初步具备独立创设幼儿园教育环境的能力和开展相关课题研究的能力</w:t>
            </w:r>
          </w:p>
        </w:tc>
        <w:tc>
          <w:tcPr>
            <w:tcW w:w="2317" w:type="dxa"/>
            <w:shd w:val="clear" w:color="auto" w:fill="auto"/>
            <w:vAlign w:val="top"/>
          </w:tcPr>
          <w:p w14:paraId="2CEF1AC2">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模块一：</w:t>
            </w:r>
            <w:r>
              <w:rPr>
                <w:rFonts w:hint="eastAsia" w:ascii="宋体" w:hAnsi="宋体" w:cs="宋体"/>
                <w:sz w:val="18"/>
                <w:szCs w:val="18"/>
              </w:rPr>
              <w:t>幼儿园环境创设的概述</w:t>
            </w:r>
          </w:p>
          <w:p w14:paraId="7F903D7E">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模块二：</w:t>
            </w:r>
            <w:r>
              <w:rPr>
                <w:rFonts w:hint="eastAsia" w:ascii="宋体" w:hAnsi="宋体" w:cs="宋体"/>
                <w:sz w:val="18"/>
                <w:szCs w:val="18"/>
              </w:rPr>
              <w:t>幼儿园环境的种类</w:t>
            </w:r>
          </w:p>
          <w:p w14:paraId="2845DFF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w:t>
            </w:r>
            <w:r>
              <w:rPr>
                <w:rFonts w:hint="eastAsia" w:ascii="宋体" w:hAnsi="宋体" w:cs="宋体"/>
                <w:sz w:val="18"/>
                <w:szCs w:val="18"/>
              </w:rPr>
              <w:t>物质环境</w:t>
            </w:r>
          </w:p>
          <w:p w14:paraId="4E3A0A1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模块四：</w:t>
            </w:r>
            <w:r>
              <w:rPr>
                <w:rFonts w:hint="eastAsia" w:ascii="宋体" w:hAnsi="宋体" w:cs="宋体"/>
                <w:sz w:val="18"/>
                <w:szCs w:val="18"/>
              </w:rPr>
              <w:t>精神环境</w:t>
            </w:r>
          </w:p>
          <w:p w14:paraId="7C4D1A85">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模块五：</w:t>
            </w:r>
            <w:r>
              <w:rPr>
                <w:rFonts w:hint="eastAsia" w:ascii="宋体" w:hAnsi="宋体" w:cs="宋体"/>
                <w:sz w:val="18"/>
                <w:szCs w:val="18"/>
              </w:rPr>
              <w:t>环境创设的方法</w:t>
            </w:r>
          </w:p>
          <w:p w14:paraId="49D965BD">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p>
        </w:tc>
        <w:tc>
          <w:tcPr>
            <w:tcW w:w="2507" w:type="dxa"/>
            <w:shd w:val="clear" w:color="auto" w:fill="auto"/>
            <w:vAlign w:val="top"/>
          </w:tcPr>
          <w:p w14:paraId="7DDC27E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w:t>
            </w:r>
            <w:r>
              <w:rPr>
                <w:rFonts w:hint="eastAsia" w:ascii="宋体" w:hAnsi="宋体" w:cs="宋体"/>
                <w:kern w:val="0"/>
                <w:sz w:val="18"/>
                <w:szCs w:val="18"/>
              </w:rPr>
              <w:t>采用线上+线下混合式教学模式，线上通过课堂外在线自主学习和创新，实现知识传递和展现；线下通过将课堂变成互动场所，进行探究学习，突出强调理论联系实际，切实增强针对性，注重实效。</w:t>
            </w:r>
          </w:p>
          <w:p w14:paraId="1D36FAC7">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w:t>
            </w:r>
            <w:r>
              <w:rPr>
                <w:rFonts w:hint="eastAsia" w:ascii="宋体" w:hAnsi="宋体" w:cs="宋体"/>
                <w:kern w:val="0"/>
                <w:sz w:val="18"/>
                <w:szCs w:val="18"/>
              </w:rPr>
              <w:t>情景模拟、小组讨论、课堂实践等教学方法，通过社会调查和创新创业大赛等活动激发学生创新创业的热情。</w:t>
            </w:r>
          </w:p>
          <w:p w14:paraId="3EA0B30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w:t>
            </w:r>
            <w:r>
              <w:rPr>
                <w:rFonts w:hint="eastAsia" w:ascii="宋体" w:hAnsi="宋体" w:cs="宋体"/>
                <w:kern w:val="0"/>
                <w:sz w:val="18"/>
                <w:szCs w:val="18"/>
              </w:rPr>
              <w:t>多媒体教室和智慧校园平台。</w:t>
            </w:r>
          </w:p>
          <w:p w14:paraId="1B0AA186">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评价建议：</w:t>
            </w:r>
            <w:r>
              <w:rPr>
                <w:rFonts w:hint="eastAsia" w:ascii="宋体" w:hAnsi="宋体" w:cs="宋体"/>
                <w:kern w:val="0"/>
                <w:sz w:val="18"/>
                <w:szCs w:val="18"/>
              </w:rPr>
              <w:t>采取学习过程考核（50%）+期末测评（50%）评定学习效果</w:t>
            </w:r>
          </w:p>
        </w:tc>
      </w:tr>
      <w:tr w14:paraId="5B61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353E5241">
            <w:pPr>
              <w:pageBreakBefore w:val="0"/>
              <w:kinsoku/>
              <w:wordWrap/>
              <w:overflowPunct/>
              <w:topLinePunct w:val="0"/>
              <w:bidi w:val="0"/>
              <w:spacing w:line="360" w:lineRule="exact"/>
              <w:jc w:val="center"/>
              <w:rPr>
                <w:rFonts w:ascii="宋体" w:hAnsi="宋体" w:eastAsia="宋体" w:cs="宋体"/>
                <w:b/>
                <w:bCs/>
                <w:kern w:val="2"/>
                <w:sz w:val="18"/>
                <w:szCs w:val="18"/>
                <w:lang w:val="en-US" w:eastAsia="zh-CN" w:bidi="ar-SA"/>
              </w:rPr>
            </w:pPr>
            <w:r>
              <w:rPr>
                <w:rFonts w:hint="eastAsia" w:ascii="宋体" w:hAnsi="宋体" w:cs="宋体"/>
                <w:b/>
                <w:bCs/>
                <w:sz w:val="18"/>
                <w:szCs w:val="18"/>
              </w:rPr>
              <w:t>幼儿园班级管理</w:t>
            </w:r>
          </w:p>
        </w:tc>
        <w:tc>
          <w:tcPr>
            <w:tcW w:w="2783" w:type="dxa"/>
            <w:shd w:val="clear" w:color="auto" w:fill="auto"/>
            <w:vAlign w:val="top"/>
          </w:tcPr>
          <w:p w14:paraId="1E922F11">
            <w:pPr>
              <w:pageBreakBefore w:val="0"/>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1.</w:t>
            </w:r>
            <w:r>
              <w:rPr>
                <w:rFonts w:ascii="宋体" w:hAnsi="宋体" w:cs="宋体"/>
                <w:b/>
                <w:bCs/>
                <w:sz w:val="18"/>
                <w:szCs w:val="18"/>
              </w:rPr>
              <w:t>知识目标</w:t>
            </w:r>
          </w:p>
          <w:p w14:paraId="55B75D8E">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理解幼儿园班级管理的基础理论</w:t>
            </w:r>
            <w:r>
              <w:rPr>
                <w:rFonts w:hint="eastAsia" w:ascii="宋体" w:hAnsi="宋体" w:cs="宋体"/>
                <w:sz w:val="18"/>
                <w:szCs w:val="18"/>
              </w:rPr>
              <w:t>；</w:t>
            </w:r>
          </w:p>
          <w:p w14:paraId="75F8B643">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掌握班级管理的概念、原则、内容及意义，明确其在幼儿教育体系中的重要性。</w:t>
            </w:r>
          </w:p>
          <w:p w14:paraId="00279EFE">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了解幼儿身心发展特点（如 3-6 岁幼儿的认知、语言、社会性发展规律），理解其与班级管理策略的关联</w:t>
            </w:r>
            <w:r>
              <w:rPr>
                <w:rFonts w:hint="eastAsia" w:ascii="宋体" w:hAnsi="宋体" w:cs="宋体"/>
                <w:sz w:val="18"/>
                <w:szCs w:val="18"/>
              </w:rPr>
              <w:t>；</w:t>
            </w:r>
          </w:p>
          <w:p w14:paraId="2354AF03">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熟悉班级管理的具体内容与流程</w:t>
            </w:r>
            <w:r>
              <w:rPr>
                <w:rFonts w:hint="eastAsia" w:ascii="宋体" w:hAnsi="宋体" w:cs="宋体"/>
                <w:sz w:val="18"/>
                <w:szCs w:val="18"/>
              </w:rPr>
              <w:t>。</w:t>
            </w:r>
          </w:p>
          <w:p w14:paraId="34AFFBAE">
            <w:pPr>
              <w:pageBreakBefore w:val="0"/>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2.</w:t>
            </w:r>
            <w:r>
              <w:rPr>
                <w:rFonts w:ascii="宋体" w:hAnsi="宋体" w:cs="宋体"/>
                <w:b/>
                <w:bCs/>
                <w:sz w:val="18"/>
                <w:szCs w:val="18"/>
              </w:rPr>
              <w:t>能力目标</w:t>
            </w:r>
          </w:p>
          <w:p w14:paraId="480E1F19">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班级日常组织与协调能力</w:t>
            </w:r>
          </w:p>
          <w:p w14:paraId="02DC0D34">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能合理规划幼儿一日活动，确保各环节过渡自然、高效有序，避免幼儿等待或混乱</w:t>
            </w:r>
            <w:r>
              <w:rPr>
                <w:rFonts w:hint="eastAsia" w:ascii="宋体" w:hAnsi="宋体" w:cs="宋体"/>
                <w:sz w:val="18"/>
                <w:szCs w:val="18"/>
              </w:rPr>
              <w:t>；</w:t>
            </w:r>
          </w:p>
          <w:p w14:paraId="1038F29B">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掌握应对班级突发情况（如幼儿冲突、安全事故）的应急处理能力</w:t>
            </w:r>
            <w:r>
              <w:rPr>
                <w:rFonts w:hint="eastAsia" w:ascii="宋体" w:hAnsi="宋体" w:cs="宋体"/>
                <w:sz w:val="18"/>
                <w:szCs w:val="18"/>
              </w:rPr>
              <w:t>；</w:t>
            </w:r>
          </w:p>
          <w:p w14:paraId="255C3134">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幼儿行为观察与引导能力</w:t>
            </w:r>
          </w:p>
          <w:p w14:paraId="4EB0AD5D">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能通过观察记录幼儿行为，识别个体差异与发展需求，制定个性化管理策略（如针对内向、好动幼儿的不同引导方式）。</w:t>
            </w:r>
          </w:p>
          <w:p w14:paraId="04052234">
            <w:pPr>
              <w:pageBreakBefore w:val="0"/>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3.</w:t>
            </w:r>
            <w:r>
              <w:rPr>
                <w:rFonts w:ascii="宋体" w:hAnsi="宋体" w:cs="宋体"/>
                <w:b/>
                <w:bCs/>
                <w:sz w:val="18"/>
                <w:szCs w:val="18"/>
              </w:rPr>
              <w:t>素</w:t>
            </w:r>
            <w:r>
              <w:rPr>
                <w:rFonts w:hint="eastAsia" w:ascii="宋体" w:hAnsi="宋体" w:cs="宋体"/>
                <w:b/>
                <w:bCs/>
                <w:sz w:val="18"/>
                <w:szCs w:val="18"/>
              </w:rPr>
              <w:t>质</w:t>
            </w:r>
            <w:r>
              <w:rPr>
                <w:rFonts w:ascii="宋体" w:hAnsi="宋体" w:cs="宋体"/>
                <w:b/>
                <w:bCs/>
                <w:sz w:val="18"/>
                <w:szCs w:val="18"/>
              </w:rPr>
              <w:t>目标</w:t>
            </w:r>
          </w:p>
          <w:p w14:paraId="52673EA7">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树立科学的教育理念与责任意识</w:t>
            </w:r>
            <w:r>
              <w:rPr>
                <w:rFonts w:hint="eastAsia" w:ascii="宋体" w:hAnsi="宋体" w:cs="宋体"/>
                <w:sz w:val="18"/>
                <w:szCs w:val="18"/>
              </w:rPr>
              <w:t>；</w:t>
            </w:r>
          </w:p>
          <w:p w14:paraId="721709ED">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认同“以幼儿为本” 的教育观，尊重幼儿的主体性，关注个体差异，避免简单化、一刀切的管理方式</w:t>
            </w:r>
            <w:r>
              <w:rPr>
                <w:rFonts w:hint="eastAsia" w:ascii="宋体" w:hAnsi="宋体" w:cs="宋体"/>
                <w:sz w:val="18"/>
                <w:szCs w:val="18"/>
              </w:rPr>
              <w:t>；</w:t>
            </w:r>
          </w:p>
          <w:p w14:paraId="2C6EAC40">
            <w:pPr>
              <w:pageBreakBefore w:val="0"/>
              <w:kinsoku/>
              <w:wordWrap/>
              <w:overflowPunct/>
              <w:topLinePunct w:val="0"/>
              <w:bidi w:val="0"/>
              <w:spacing w:line="360" w:lineRule="exact"/>
              <w:jc w:val="left"/>
              <w:rPr>
                <w:rFonts w:ascii="宋体" w:hAnsi="宋体" w:eastAsia="宋体" w:cs="宋体"/>
                <w:kern w:val="2"/>
                <w:sz w:val="18"/>
                <w:szCs w:val="18"/>
                <w:lang w:val="en-US" w:eastAsia="zh-CN" w:bidi="ar-SA"/>
              </w:rPr>
            </w:pPr>
            <w:r>
              <w:rPr>
                <w:rFonts w:ascii="宋体" w:hAnsi="宋体" w:cs="宋体"/>
                <w:sz w:val="18"/>
                <w:szCs w:val="18"/>
              </w:rPr>
              <w:t>强化安全意识与职业道德，确保幼儿在班级中的人身安全与心理健康，杜绝体罚或变相体罚。</w:t>
            </w:r>
          </w:p>
        </w:tc>
        <w:tc>
          <w:tcPr>
            <w:tcW w:w="2317" w:type="dxa"/>
            <w:shd w:val="clear" w:color="auto" w:fill="auto"/>
            <w:vAlign w:val="top"/>
          </w:tcPr>
          <w:p w14:paraId="066B605B">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1.班级管理理论基础</w:t>
            </w:r>
          </w:p>
          <w:p w14:paraId="16C782C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班级日常管理实务；</w:t>
            </w:r>
          </w:p>
          <w:p w14:paraId="7B45AF5B">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一日生活流程管理；</w:t>
            </w:r>
          </w:p>
          <w:p w14:paraId="233DF43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2.环境创设与材料管理</w:t>
            </w:r>
          </w:p>
          <w:p w14:paraId="60A90509">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物理环境；</w:t>
            </w:r>
          </w:p>
          <w:p w14:paraId="27987935">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心理环境；</w:t>
            </w:r>
          </w:p>
          <w:p w14:paraId="2324E5B2">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建立平等师幼关系：蹲下来与幼儿对话、鼓励表达想法；</w:t>
            </w:r>
          </w:p>
          <w:p w14:paraId="61ED9D90">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培养同伴交往：组织合作游戏（如 “搭建城堡”）、解决冲突策略（如 “轮流说” 规则）。</w:t>
            </w:r>
          </w:p>
          <w:p w14:paraId="47C25C5A">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3. 安全与卫生管理</w:t>
            </w:r>
          </w:p>
          <w:p w14:paraId="0B24228A">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安全防护；</w:t>
            </w:r>
          </w:p>
          <w:p w14:paraId="277D3F2A">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卫生保健；一日三检（晨检、午检、离园检）；</w:t>
            </w:r>
          </w:p>
          <w:p w14:paraId="369A2A8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传染病预防：通风消毒、缺勤追踪；</w:t>
            </w:r>
          </w:p>
          <w:p w14:paraId="40B197B7">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饮食管理：过敏源记录、特殊餐食定制。</w:t>
            </w:r>
          </w:p>
          <w:p w14:paraId="3623DAC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4.班级教育与教学管理</w:t>
            </w:r>
          </w:p>
          <w:p w14:paraId="3F93EE82">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课程计划与执行；</w:t>
            </w:r>
          </w:p>
          <w:p w14:paraId="3B3FE0F0">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幼儿行为管理；</w:t>
            </w:r>
          </w:p>
          <w:p w14:paraId="759B24D4">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家园与团队协作管理；</w:t>
            </w:r>
          </w:p>
          <w:p w14:paraId="62D8A3B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家园沟通与合作；</w:t>
            </w:r>
          </w:p>
          <w:p w14:paraId="10364EE6">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班级团队协作。</w:t>
            </w:r>
          </w:p>
          <w:p w14:paraId="4307A1BB">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5.班级管理评价与反思</w:t>
            </w:r>
          </w:p>
          <w:p w14:paraId="54CA03B6">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评价体系；</w:t>
            </w:r>
          </w:p>
          <w:p w14:paraId="678E7EDD">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持续改进策略。</w:t>
            </w:r>
          </w:p>
          <w:p w14:paraId="33A39C6E">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6.实践与模拟训练</w:t>
            </w:r>
          </w:p>
          <w:p w14:paraId="4C532FE7">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实训内容；</w:t>
            </w:r>
          </w:p>
          <w:p w14:paraId="013301CB">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跟岗实习。</w:t>
            </w:r>
          </w:p>
          <w:p w14:paraId="4D92C50F">
            <w:pPr>
              <w:pageBreakBefore w:val="0"/>
              <w:kinsoku/>
              <w:wordWrap/>
              <w:overflowPunct/>
              <w:topLinePunct w:val="0"/>
              <w:bidi w:val="0"/>
              <w:spacing w:line="360" w:lineRule="exact"/>
              <w:jc w:val="left"/>
              <w:rPr>
                <w:rFonts w:ascii="宋体" w:hAnsi="宋体" w:cs="宋体"/>
                <w:sz w:val="18"/>
                <w:szCs w:val="18"/>
              </w:rPr>
            </w:pPr>
          </w:p>
          <w:p w14:paraId="775C91D0">
            <w:pPr>
              <w:pageBreakBefore w:val="0"/>
              <w:kinsoku/>
              <w:wordWrap/>
              <w:overflowPunct/>
              <w:topLinePunct w:val="0"/>
              <w:bidi w:val="0"/>
              <w:spacing w:line="360" w:lineRule="exact"/>
              <w:jc w:val="left"/>
              <w:rPr>
                <w:rFonts w:hint="eastAsia" w:ascii="宋体" w:hAnsi="宋体" w:eastAsia="宋体" w:cs="宋体"/>
                <w:kern w:val="2"/>
                <w:sz w:val="18"/>
                <w:szCs w:val="18"/>
                <w:lang w:val="en-US" w:eastAsia="zh-CN" w:bidi="ar-SA"/>
              </w:rPr>
            </w:pPr>
          </w:p>
        </w:tc>
        <w:tc>
          <w:tcPr>
            <w:tcW w:w="2507" w:type="dxa"/>
            <w:shd w:val="clear" w:color="auto" w:fill="auto"/>
            <w:vAlign w:val="center"/>
          </w:tcPr>
          <w:p w14:paraId="06FDA4EC">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教学模式：教学以学生为中心，采取“课前导学－课中研学－课后延学”的线上线下混合式教学模式，以第一课堂为主，课内课外结合，以形式多样的实践活动为载体满足学生个性化学习需求，提升学生学习兴趣和综合素养。</w:t>
            </w:r>
          </w:p>
          <w:p w14:paraId="08DAFBC6">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教学方法：运用讨论法、情境教学法、任务驱动教学法、成果导向教学法、启发式教学法等，全面提升课堂效率和学生学习兴趣。</w:t>
            </w:r>
          </w:p>
          <w:p w14:paraId="1843ADC9">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教学条件：多媒体教室、智慧校园平台、幼教公众号</w:t>
            </w:r>
          </w:p>
          <w:p w14:paraId="5B10F6F8">
            <w:pPr>
              <w:pageBreakBefore w:val="0"/>
              <w:kinsoku/>
              <w:wordWrap/>
              <w:overflowPunct/>
              <w:topLinePunct w:val="0"/>
              <w:bidi w:val="0"/>
              <w:spacing w:line="360" w:lineRule="exact"/>
              <w:jc w:val="left"/>
              <w:rPr>
                <w:rFonts w:ascii="宋体" w:hAnsi="宋体" w:eastAsia="宋体" w:cs="宋体"/>
                <w:kern w:val="2"/>
                <w:sz w:val="18"/>
                <w:szCs w:val="18"/>
                <w:lang w:val="en-US" w:eastAsia="zh-CN" w:bidi="ar-SA"/>
              </w:rPr>
            </w:pPr>
            <w:r>
              <w:rPr>
                <w:rFonts w:hint="eastAsia" w:ascii="宋体" w:hAnsi="宋体" w:cs="宋体"/>
                <w:sz w:val="18"/>
                <w:szCs w:val="18"/>
              </w:rPr>
              <w:t>评价建议：考勤+课堂表现+日常作业=平时成绩30%+期末考试成绩70%。将课前、课中、课后三个阶段的学习表现纳入过程考核，注重第二课堂学习成果增值性评价，综合评定学生学习效果。</w:t>
            </w:r>
          </w:p>
        </w:tc>
      </w:tr>
      <w:tr w14:paraId="7C4D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5C33CE6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幼儿行为观察与评价</w:t>
            </w:r>
          </w:p>
        </w:tc>
        <w:tc>
          <w:tcPr>
            <w:tcW w:w="2783" w:type="dxa"/>
            <w:shd w:val="clear" w:color="auto" w:fill="auto"/>
          </w:tcPr>
          <w:p w14:paraId="258D9EF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1.知识目标</w:t>
            </w:r>
            <w:r>
              <w:rPr>
                <w:rFonts w:hint="eastAsia" w:ascii="宋体" w:hAnsi="宋体" w:cs="宋体"/>
                <w:bCs/>
                <w:sz w:val="18"/>
                <w:szCs w:val="18"/>
              </w:rPr>
              <w:t>：</w:t>
            </w:r>
          </w:p>
          <w:p w14:paraId="19560FD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（1）了解学前儿童行为观察与记录的重要意义，树立正确的儿童观，建立学前儿童行为观察与记录的正确观念；</w:t>
            </w:r>
          </w:p>
          <w:p w14:paraId="6679EEA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（2）掌握各种类型的学前儿童行为观察与记录的基本方法，掌握学前儿童行为评价的基本方法和评估角度。</w:t>
            </w:r>
          </w:p>
          <w:p w14:paraId="22C4026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2.能力目标</w:t>
            </w:r>
            <w:r>
              <w:rPr>
                <w:rFonts w:hint="eastAsia" w:ascii="宋体" w:hAnsi="宋体" w:cs="宋体"/>
                <w:bCs/>
                <w:sz w:val="18"/>
                <w:szCs w:val="18"/>
              </w:rPr>
              <w:t>：</w:t>
            </w:r>
          </w:p>
          <w:p w14:paraId="16BB9D1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具备结合学前儿童发展阶段选定观察目标的能力、设计和实施学前儿童行为观察的能力、设计和实施学前儿童行为记录的能力。</w:t>
            </w:r>
          </w:p>
          <w:p w14:paraId="2DCF47E4">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10F4469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积极关注学前儿童行为观察与记录的发展现状及趋势，主动获取学前儿童行为观察与记录的各种信息，富有创造性地进行学前儿童行为观察与记录，积极促进学前儿童身心全面发展。</w:t>
            </w:r>
          </w:p>
        </w:tc>
        <w:tc>
          <w:tcPr>
            <w:tcW w:w="2317" w:type="dxa"/>
            <w:shd w:val="clear" w:color="auto" w:fill="auto"/>
          </w:tcPr>
          <w:p w14:paraId="7507A611">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模块一：</w:t>
            </w:r>
            <w:r>
              <w:rPr>
                <w:rFonts w:hint="eastAsia" w:ascii="宋体" w:hAnsi="宋体" w:cs="宋体"/>
                <w:sz w:val="18"/>
                <w:szCs w:val="18"/>
              </w:rPr>
              <w:t>学前儿童观察的概述</w:t>
            </w:r>
          </w:p>
          <w:p w14:paraId="7504AEB8">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模块二：</w:t>
            </w:r>
            <w:r>
              <w:rPr>
                <w:rFonts w:hint="eastAsia" w:ascii="宋体" w:hAnsi="宋体" w:cs="宋体"/>
                <w:sz w:val="18"/>
                <w:szCs w:val="18"/>
              </w:rPr>
              <w:t>儿童心理发展的基本理论</w:t>
            </w:r>
          </w:p>
          <w:p w14:paraId="32282DAF">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模块三：</w:t>
            </w:r>
            <w:r>
              <w:rPr>
                <w:rFonts w:hint="eastAsia" w:ascii="宋体" w:hAnsi="宋体" w:cs="宋体"/>
                <w:sz w:val="18"/>
                <w:szCs w:val="18"/>
              </w:rPr>
              <w:t>幼儿行为观察的方法</w:t>
            </w:r>
          </w:p>
          <w:p w14:paraId="44AB201E">
            <w:pPr>
              <w:pageBreakBefore w:val="0"/>
              <w:kinsoku/>
              <w:wordWrap/>
              <w:overflowPunct/>
              <w:topLinePunct w:val="0"/>
              <w:bidi w:val="0"/>
              <w:spacing w:line="360" w:lineRule="exact"/>
              <w:rPr>
                <w:sz w:val="18"/>
                <w:szCs w:val="18"/>
              </w:rPr>
            </w:pPr>
            <w:r>
              <w:rPr>
                <w:rFonts w:hint="eastAsia" w:ascii="宋体" w:hAnsi="宋体" w:cs="宋体"/>
                <w:bCs/>
                <w:sz w:val="18"/>
                <w:szCs w:val="18"/>
              </w:rPr>
              <w:t>模块四：</w:t>
            </w:r>
            <w:r>
              <w:rPr>
                <w:rFonts w:hint="eastAsia" w:ascii="宋体" w:hAnsi="宋体" w:cs="宋体"/>
                <w:sz w:val="18"/>
                <w:szCs w:val="18"/>
              </w:rPr>
              <w:t>描述观察法</w:t>
            </w:r>
          </w:p>
          <w:p w14:paraId="395F0BE1">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模块五：</w:t>
            </w:r>
            <w:r>
              <w:rPr>
                <w:rFonts w:hint="eastAsia" w:ascii="宋体" w:hAnsi="宋体" w:cs="宋体"/>
                <w:sz w:val="18"/>
                <w:szCs w:val="18"/>
              </w:rPr>
              <w:t>社会交往图观察法</w:t>
            </w:r>
          </w:p>
          <w:p w14:paraId="0DFEFB2C">
            <w:pPr>
              <w:pStyle w:val="20"/>
              <w:pageBreakBefore w:val="0"/>
              <w:kinsoku/>
              <w:wordWrap/>
              <w:overflowPunct/>
              <w:topLinePunct w:val="0"/>
              <w:bidi w:val="0"/>
              <w:spacing w:line="360" w:lineRule="exact"/>
              <w:ind w:firstLine="0" w:firstLineChars="0"/>
              <w:rPr>
                <w:kern w:val="2"/>
                <w:sz w:val="18"/>
                <w:szCs w:val="18"/>
              </w:rPr>
            </w:pPr>
            <w:r>
              <w:rPr>
                <w:rFonts w:hint="eastAsia"/>
                <w:bCs/>
                <w:kern w:val="2"/>
                <w:sz w:val="18"/>
                <w:szCs w:val="18"/>
              </w:rPr>
              <w:t>模块六：</w:t>
            </w:r>
            <w:r>
              <w:rPr>
                <w:rFonts w:hint="eastAsia"/>
                <w:kern w:val="2"/>
                <w:sz w:val="18"/>
                <w:szCs w:val="18"/>
              </w:rPr>
              <w:t>幼儿行为观察的实施</w:t>
            </w:r>
          </w:p>
          <w:p w14:paraId="10453F2F">
            <w:pPr>
              <w:pageBreakBefore w:val="0"/>
              <w:kinsoku/>
              <w:wordWrap/>
              <w:overflowPunct/>
              <w:topLinePunct w:val="0"/>
              <w:bidi w:val="0"/>
              <w:spacing w:line="360" w:lineRule="exact"/>
              <w:rPr>
                <w:rFonts w:ascii="宋体" w:hAnsi="宋体" w:cs="宋体"/>
                <w:sz w:val="18"/>
                <w:szCs w:val="18"/>
              </w:rPr>
            </w:pPr>
          </w:p>
        </w:tc>
        <w:tc>
          <w:tcPr>
            <w:tcW w:w="2507" w:type="dxa"/>
            <w:shd w:val="clear" w:color="auto" w:fill="auto"/>
          </w:tcPr>
          <w:p w14:paraId="6821765D">
            <w:pPr>
              <w:pStyle w:val="6"/>
              <w:keepNext w:val="0"/>
              <w:keepLines w:val="0"/>
              <w:pageBreakBefore w:val="0"/>
              <w:kinsoku/>
              <w:wordWrap/>
              <w:overflowPunct/>
              <w:topLinePunct w:val="0"/>
              <w:bidi w:val="0"/>
              <w:spacing w:line="360" w:lineRule="exact"/>
              <w:outlineLvl w:val="3"/>
              <w:rPr>
                <w:color w:val="auto"/>
                <w:sz w:val="18"/>
                <w:szCs w:val="18"/>
              </w:rPr>
            </w:pPr>
            <w:r>
              <w:rPr>
                <w:rFonts w:hint="eastAsia" w:ascii="宋体" w:hAnsi="宋体" w:cs="宋体"/>
                <w:b w:val="0"/>
                <w:bCs/>
                <w:color w:val="auto"/>
                <w:sz w:val="18"/>
                <w:szCs w:val="18"/>
              </w:rPr>
              <w:t>教学模式：理论课教学基于“以学生为中心”的教学理念，采取“导新课－学新知－品案例－思问题－拓知识”五位一体的教学模式，将授课内容与学生兴趣相结合，达到良好的教学效果。</w:t>
            </w:r>
          </w:p>
          <w:p w14:paraId="6357E0CD">
            <w:pPr>
              <w:pageBreakBefore w:val="0"/>
              <w:widowControl/>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教学方法：采用讲解法、讨论法、实例分析法、课堂互动法等。</w:t>
            </w:r>
          </w:p>
          <w:p w14:paraId="2D0D9341">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54F2A6E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评价建议：由教师根据学生的课堂表现、课堂互动和考勤情况综合评定，占期末总成绩的30%；期末成绩占70%。将课前、课中、课后三个阶段的学习表现纳入过程考核，注重第二课堂学习成果增值性评价，综合评定学生学习效果。</w:t>
            </w:r>
          </w:p>
        </w:tc>
      </w:tr>
      <w:tr w14:paraId="5946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2ADAEEE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幼儿游戏活动指导</w:t>
            </w:r>
          </w:p>
        </w:tc>
        <w:tc>
          <w:tcPr>
            <w:tcW w:w="2783" w:type="dxa"/>
            <w:shd w:val="clear" w:color="auto" w:fill="auto"/>
          </w:tcPr>
          <w:p w14:paraId="09A933F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1.素质目标：</w:t>
            </w:r>
          </w:p>
          <w:p w14:paraId="39082E0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在游戏指导过程中培养教育责任意识和关爱情感；具有良好的团队合作精神。</w:t>
            </w:r>
          </w:p>
          <w:p w14:paraId="6C82065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2.知识目标：</w:t>
            </w:r>
          </w:p>
          <w:p w14:paraId="01283F8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能针对幼儿特 点和各类游戏的特点设计教学活动；会按一定格式 编写各类游戏教案;能对幼儿在游戏过程中出现的行为进行正确评价及有效指导。</w:t>
            </w:r>
          </w:p>
          <w:p w14:paraId="3A02423A">
            <w:pPr>
              <w:pStyle w:val="20"/>
              <w:pageBreakBefore w:val="0"/>
              <w:kinsoku/>
              <w:wordWrap/>
              <w:overflowPunct/>
              <w:topLinePunct w:val="0"/>
              <w:bidi w:val="0"/>
              <w:spacing w:line="360" w:lineRule="exact"/>
              <w:ind w:firstLine="0" w:firstLineChars="0"/>
              <w:jc w:val="both"/>
              <w:rPr>
                <w:bCs/>
                <w:kern w:val="2"/>
                <w:sz w:val="18"/>
                <w:szCs w:val="18"/>
              </w:rPr>
            </w:pPr>
            <w:r>
              <w:rPr>
                <w:rFonts w:hint="eastAsia"/>
                <w:bCs/>
                <w:kern w:val="2"/>
                <w:sz w:val="18"/>
                <w:szCs w:val="18"/>
              </w:rPr>
              <w:t>3.能力目标：</w:t>
            </w:r>
          </w:p>
          <w:p w14:paraId="4C8FED36">
            <w:pPr>
              <w:pStyle w:val="20"/>
              <w:pageBreakBefore w:val="0"/>
              <w:kinsoku/>
              <w:wordWrap/>
              <w:overflowPunct/>
              <w:topLinePunct w:val="0"/>
              <w:bidi w:val="0"/>
              <w:spacing w:line="360" w:lineRule="exact"/>
              <w:ind w:firstLine="0" w:firstLineChars="0"/>
              <w:jc w:val="both"/>
              <w:rPr>
                <w:sz w:val="18"/>
                <w:szCs w:val="18"/>
              </w:rPr>
            </w:pPr>
            <w:r>
              <w:rPr>
                <w:rFonts w:hint="eastAsia"/>
                <w:sz w:val="18"/>
                <w:szCs w:val="18"/>
              </w:rPr>
              <w:t>理解幼儿游戏中不同类型游戏的特点和教育作用;掌握不同年龄阶段幼儿在游戏中的行为特点；掌握不同类型幼儿游戏的指导方法;知道在游戏指导过程中的注意。</w:t>
            </w:r>
          </w:p>
        </w:tc>
        <w:tc>
          <w:tcPr>
            <w:tcW w:w="2317" w:type="dxa"/>
            <w:shd w:val="clear" w:color="auto" w:fill="auto"/>
          </w:tcPr>
          <w:p w14:paraId="15DF2BA6">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模块一：</w:t>
            </w:r>
            <w:r>
              <w:rPr>
                <w:rFonts w:hint="eastAsia" w:ascii="宋体" w:hAnsi="宋体" w:cs="宋体"/>
                <w:sz w:val="18"/>
                <w:szCs w:val="18"/>
              </w:rPr>
              <w:t>幼儿游戏的基本理论</w:t>
            </w:r>
          </w:p>
          <w:p w14:paraId="2C0AA705">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模块二：</w:t>
            </w:r>
            <w:r>
              <w:rPr>
                <w:rFonts w:hint="eastAsia" w:ascii="宋体" w:hAnsi="宋体" w:cs="宋体"/>
                <w:sz w:val="18"/>
                <w:szCs w:val="18"/>
              </w:rPr>
              <w:t>幼儿园游戏教育活动的主要内容、基本方法和基本技能</w:t>
            </w:r>
          </w:p>
          <w:p w14:paraId="538528BC">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模块三：</w:t>
            </w:r>
            <w:r>
              <w:rPr>
                <w:rFonts w:hint="eastAsia" w:ascii="宋体" w:hAnsi="宋体" w:cs="宋体"/>
                <w:sz w:val="18"/>
                <w:szCs w:val="18"/>
              </w:rPr>
              <w:t>角色游戏</w:t>
            </w:r>
          </w:p>
          <w:p w14:paraId="783C52A3">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模块四：</w:t>
            </w:r>
            <w:r>
              <w:rPr>
                <w:rFonts w:hint="eastAsia" w:ascii="宋体" w:hAnsi="宋体" w:cs="宋体"/>
                <w:sz w:val="18"/>
                <w:szCs w:val="18"/>
              </w:rPr>
              <w:t>表演游戏</w:t>
            </w:r>
          </w:p>
          <w:p w14:paraId="681455AC">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模块五：</w:t>
            </w:r>
            <w:r>
              <w:rPr>
                <w:rFonts w:hint="eastAsia" w:ascii="宋体" w:hAnsi="宋体" w:cs="宋体"/>
                <w:sz w:val="18"/>
                <w:szCs w:val="18"/>
              </w:rPr>
              <w:t>结构游戏</w:t>
            </w:r>
          </w:p>
          <w:p w14:paraId="3932A35B">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模块六：</w:t>
            </w:r>
            <w:r>
              <w:rPr>
                <w:rFonts w:hint="eastAsia" w:ascii="宋体" w:hAnsi="宋体" w:cs="宋体"/>
                <w:sz w:val="18"/>
                <w:szCs w:val="18"/>
              </w:rPr>
              <w:t>体育游戏</w:t>
            </w:r>
          </w:p>
          <w:p w14:paraId="2CA88A1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模块七：</w:t>
            </w:r>
            <w:r>
              <w:rPr>
                <w:rFonts w:hint="eastAsia" w:ascii="宋体" w:hAnsi="宋体" w:cs="宋体"/>
                <w:sz w:val="18"/>
                <w:szCs w:val="18"/>
              </w:rPr>
              <w:t>智力游戏</w:t>
            </w:r>
          </w:p>
        </w:tc>
        <w:tc>
          <w:tcPr>
            <w:tcW w:w="2507" w:type="dxa"/>
            <w:shd w:val="clear" w:color="auto" w:fill="auto"/>
          </w:tcPr>
          <w:p w14:paraId="19172B7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w:t>
            </w:r>
            <w:r>
              <w:rPr>
                <w:rFonts w:hint="eastAsia" w:ascii="宋体" w:hAnsi="宋体" w:cs="宋体"/>
                <w:kern w:val="0"/>
                <w:sz w:val="18"/>
                <w:szCs w:val="18"/>
              </w:rPr>
              <w:t>采用线上+线下混合式教学模式，线上通过课堂外在线自主学习和创新，实现知识传递和展现；线下通过将课堂变成互动场所，进行探究学习，突出强调理论联系实际，切实增强针对性，注重实效。</w:t>
            </w:r>
          </w:p>
          <w:p w14:paraId="273F6ED4">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w:t>
            </w:r>
            <w:r>
              <w:rPr>
                <w:rFonts w:hint="eastAsia" w:ascii="宋体" w:hAnsi="宋体" w:cs="宋体"/>
                <w:kern w:val="0"/>
                <w:sz w:val="18"/>
                <w:szCs w:val="18"/>
              </w:rPr>
              <w:t>情景模拟、小组讨论、课堂实践等教学方法，通过社会调查和创新创业大赛等活动激发学生创新创业的热情。</w:t>
            </w:r>
          </w:p>
          <w:p w14:paraId="3C301F0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w:t>
            </w:r>
            <w:r>
              <w:rPr>
                <w:rFonts w:hint="eastAsia" w:ascii="宋体" w:hAnsi="宋体" w:cs="宋体"/>
                <w:kern w:val="0"/>
                <w:sz w:val="18"/>
                <w:szCs w:val="18"/>
              </w:rPr>
              <w:t>多媒体教室和智慧校园平台。</w:t>
            </w:r>
          </w:p>
          <w:p w14:paraId="2BC9C6F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评价建议：</w:t>
            </w:r>
            <w:r>
              <w:rPr>
                <w:rFonts w:hint="eastAsia" w:ascii="宋体" w:hAnsi="宋体" w:cs="宋体"/>
                <w:kern w:val="0"/>
                <w:sz w:val="18"/>
                <w:szCs w:val="18"/>
              </w:rPr>
              <w:t>采取学习过程考核（50%）+期末测评（50%）评定学习效果</w:t>
            </w:r>
          </w:p>
        </w:tc>
      </w:tr>
    </w:tbl>
    <w:p w14:paraId="63C6FCFE">
      <w:pPr>
        <w:pageBreakBefore w:val="0"/>
        <w:kinsoku/>
        <w:wordWrap/>
        <w:overflowPunct/>
        <w:topLinePunct w:val="0"/>
        <w:bidi w:val="0"/>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2767"/>
        <w:gridCol w:w="2518"/>
        <w:gridCol w:w="2322"/>
      </w:tblGrid>
      <w:tr w14:paraId="2EEC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Align w:val="center"/>
          </w:tcPr>
          <w:p w14:paraId="57EE2623">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767" w:type="dxa"/>
            <w:vAlign w:val="center"/>
          </w:tcPr>
          <w:p w14:paraId="5846EA01">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518" w:type="dxa"/>
            <w:vAlign w:val="center"/>
          </w:tcPr>
          <w:p w14:paraId="526FDD16">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322" w:type="dxa"/>
            <w:vAlign w:val="center"/>
          </w:tcPr>
          <w:p w14:paraId="4A4317E7">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423F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Align w:val="center"/>
          </w:tcPr>
          <w:p w14:paraId="203A017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少儿体适能训练与指导</w:t>
            </w:r>
          </w:p>
        </w:tc>
        <w:tc>
          <w:tcPr>
            <w:tcW w:w="2767" w:type="dxa"/>
            <w:vAlign w:val="center"/>
          </w:tcPr>
          <w:p w14:paraId="37B434AA">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4F0E6120">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（1）掌握与运动有关的中英文词汇以及专业术语，能够与教练高效的交流；</w:t>
            </w:r>
          </w:p>
          <w:p w14:paraId="27EB365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（2）掌握基本的训练方法，掌握动作技能以及运动技能改善动作模式从而循序渐进的提高身体素质。</w:t>
            </w:r>
          </w:p>
          <w:p w14:paraId="4AAC967A">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042C483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（1）具备良好的身体姿态，健康的身体机能，出色的身体素质；</w:t>
            </w:r>
          </w:p>
          <w:p w14:paraId="3FE39DBF">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（2）具备参与任何一项专项训练的能力，能够加速学习专项技能的进程，尽快掌握专项动作的规律。衔接学校体育，达到国家健康体质测试的相关标准，与学校体育相融合。</w:t>
            </w:r>
          </w:p>
          <w:p w14:paraId="40D1F275">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03D199DF">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养成良好的性格，具备强大的内心，良好的情绪管理。认知能力得到提升。通过分享与合作发展领导力，将韧性，洞察力，主动性，自信心，责任感，协调能力，宽容融入训练，学习与生活。发扬运动家精神。</w:t>
            </w:r>
          </w:p>
        </w:tc>
        <w:tc>
          <w:tcPr>
            <w:tcW w:w="2518" w:type="dxa"/>
          </w:tcPr>
          <w:p w14:paraId="47F3D83B">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模块一：理论课</w:t>
            </w:r>
          </w:p>
          <w:p w14:paraId="525DF782">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儿童体适能市场概述、儿童体适能发展的阶段与特征</w:t>
            </w:r>
          </w:p>
          <w:p w14:paraId="73694253">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儿童运动系统解剖学等。</w:t>
            </w:r>
          </w:p>
          <w:p w14:paraId="6DF8018E">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模块二：体能评估</w:t>
            </w:r>
          </w:p>
          <w:p w14:paraId="55B53A29">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体能评估功能性运动筛查</w:t>
            </w:r>
          </w:p>
          <w:p w14:paraId="0B5F41F3">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RM测试、立定跳远、L形跑动等。</w:t>
            </w:r>
          </w:p>
          <w:p w14:paraId="0E1CEBC2">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模块三：训练课</w:t>
            </w:r>
          </w:p>
          <w:p w14:paraId="011F6333">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有氧耐力训练、力量训练、力量耐力训练、速度素质训练、灵敏协调素质训练等内容。</w:t>
            </w:r>
          </w:p>
          <w:p w14:paraId="1816CFD0">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模块四：预防</w:t>
            </w:r>
          </w:p>
          <w:p w14:paraId="332C562C">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体适能练习与运动损伤预防、体适能练习与运动损伤康复等内容。</w:t>
            </w:r>
          </w:p>
        </w:tc>
        <w:tc>
          <w:tcPr>
            <w:tcW w:w="2322" w:type="dxa"/>
          </w:tcPr>
          <w:p w14:paraId="5CEA1668">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教学模式：采用线上+线下混合式教学模式，线上通过课堂外在线自主学习和创新，实现知识传递和展现；线下通过将课堂变成互动场所，进行探究学习，突出强调理论联系实际，切实增强针对性，注重实效。</w:t>
            </w:r>
          </w:p>
          <w:p w14:paraId="40007665">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教学方法：情景模拟、小组讨论、课堂实践等教学方法，通过社会调查和创新创业大赛等活动激发学生创新创业的热情。</w:t>
            </w:r>
          </w:p>
          <w:p w14:paraId="737D14EE">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教学条件：多媒体教室和智慧校园平台。</w:t>
            </w:r>
          </w:p>
          <w:p w14:paraId="4D3A9B69">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评价建议：采取学习过程考核（50%）+期末测评（50%）评定学习效果</w:t>
            </w:r>
          </w:p>
        </w:tc>
      </w:tr>
      <w:tr w14:paraId="443C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21AA89CD">
            <w:pPr>
              <w:pageBreakBefore w:val="0"/>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儿童文学</w:t>
            </w:r>
          </w:p>
        </w:tc>
        <w:tc>
          <w:tcPr>
            <w:tcW w:w="2767" w:type="dxa"/>
            <w:shd w:val="clear" w:color="auto" w:fill="auto"/>
            <w:vAlign w:val="top"/>
          </w:tcPr>
          <w:p w14:paraId="6C44BAFB">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7217BE2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《儿童文学》课程旨在使学生掌握作为幼儿教师必备的儿童文学理论知识，熟悉并掌握童话、寓言等儿童文学常用形式，提高学生对儿童文学的鉴赏水平，为将来更好地从事幼儿教育工作打下坚实的基础。</w:t>
            </w:r>
          </w:p>
          <w:p w14:paraId="2AD5944A">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5C7A82A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培养学生扎实的儿童文学理论基础，使学生能够根据儿童的年龄特点和各种文学体裁特点，赏析、演练各种文学作品，组织各种文学体裁教学活动。为了达到较好的教学效果，要求教师在教学过程中将儿童文学的理论和实践紧密结合，结合大量的儿童文学作品，进行理论讲授和亲身示范。</w:t>
            </w:r>
          </w:p>
          <w:p w14:paraId="349620FC">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19492C6E">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sz w:val="18"/>
                <w:szCs w:val="18"/>
              </w:rPr>
              <w:t>课程中以提升学生实践能力为主要目标，让学生进行各种文学作品的赏析、教学活动的演练，调动学生参与积极性，让他们在扎扎实实地在实践活动中逐步提高。</w:t>
            </w:r>
          </w:p>
        </w:tc>
        <w:tc>
          <w:tcPr>
            <w:tcW w:w="2518" w:type="dxa"/>
            <w:shd w:val="clear" w:color="auto" w:fill="auto"/>
            <w:vAlign w:val="top"/>
          </w:tcPr>
          <w:p w14:paraId="32F9792B">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模块一：</w:t>
            </w:r>
            <w:r>
              <w:rPr>
                <w:rFonts w:hint="eastAsia" w:ascii="宋体" w:hAnsi="宋体" w:cs="宋体"/>
                <w:sz w:val="18"/>
                <w:szCs w:val="18"/>
              </w:rPr>
              <w:t>儿童文学的基本原理</w:t>
            </w:r>
          </w:p>
          <w:p w14:paraId="2BE2F1FB">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模块一：</w:t>
            </w:r>
            <w:r>
              <w:rPr>
                <w:rFonts w:hint="eastAsia" w:ascii="宋体" w:hAnsi="宋体" w:cs="宋体"/>
                <w:sz w:val="18"/>
                <w:szCs w:val="18"/>
              </w:rPr>
              <w:t>儿童文学的创作主体与接收对象</w:t>
            </w:r>
          </w:p>
          <w:p w14:paraId="725E9812">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模块二：</w:t>
            </w:r>
            <w:r>
              <w:rPr>
                <w:rFonts w:hint="eastAsia" w:ascii="宋体" w:hAnsi="宋体" w:cs="宋体"/>
                <w:sz w:val="18"/>
                <w:szCs w:val="18"/>
              </w:rPr>
              <w:t>儿童文学的文本特征</w:t>
            </w:r>
          </w:p>
          <w:p w14:paraId="3976E9F1">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模块三：</w:t>
            </w:r>
            <w:r>
              <w:rPr>
                <w:rFonts w:hint="eastAsia" w:ascii="宋体" w:hAnsi="宋体" w:cs="宋体"/>
                <w:sz w:val="18"/>
                <w:szCs w:val="18"/>
              </w:rPr>
              <w:t>儿歌和儿童诗</w:t>
            </w:r>
          </w:p>
          <w:p w14:paraId="397AE317">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模块四：</w:t>
            </w:r>
            <w:r>
              <w:rPr>
                <w:rFonts w:hint="eastAsia" w:ascii="宋体" w:hAnsi="宋体" w:cs="宋体"/>
                <w:sz w:val="18"/>
                <w:szCs w:val="18"/>
              </w:rPr>
              <w:t>童话和寓言</w:t>
            </w:r>
          </w:p>
          <w:p w14:paraId="3E95A59A">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模块五：</w:t>
            </w:r>
            <w:r>
              <w:rPr>
                <w:rFonts w:hint="eastAsia" w:ascii="宋体" w:hAnsi="宋体" w:cs="宋体"/>
                <w:sz w:val="18"/>
                <w:szCs w:val="18"/>
              </w:rPr>
              <w:t>儿童故事</w:t>
            </w:r>
          </w:p>
          <w:p w14:paraId="5BA4571D">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模块六：</w:t>
            </w:r>
            <w:r>
              <w:rPr>
                <w:rFonts w:hint="eastAsia" w:ascii="宋体" w:hAnsi="宋体" w:cs="宋体"/>
                <w:sz w:val="18"/>
                <w:szCs w:val="18"/>
              </w:rPr>
              <w:t>儿童散文</w:t>
            </w:r>
          </w:p>
          <w:p w14:paraId="7208C715">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模块七：</w:t>
            </w:r>
            <w:r>
              <w:rPr>
                <w:rFonts w:hint="eastAsia" w:ascii="宋体" w:hAnsi="宋体" w:cs="宋体"/>
                <w:sz w:val="18"/>
                <w:szCs w:val="18"/>
              </w:rPr>
              <w:t>儿童科学文艺</w:t>
            </w:r>
          </w:p>
          <w:p w14:paraId="6D9ABE91">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模块八：</w:t>
            </w:r>
            <w:r>
              <w:rPr>
                <w:rFonts w:hint="eastAsia" w:ascii="宋体" w:hAnsi="宋体" w:cs="宋体"/>
                <w:sz w:val="18"/>
                <w:szCs w:val="18"/>
              </w:rPr>
              <w:t>儿童图画书</w:t>
            </w:r>
          </w:p>
          <w:p w14:paraId="3C05923F">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模块九：</w:t>
            </w:r>
            <w:r>
              <w:rPr>
                <w:rFonts w:hint="eastAsia" w:ascii="宋体" w:hAnsi="宋体" w:cs="宋体"/>
                <w:sz w:val="18"/>
                <w:szCs w:val="18"/>
              </w:rPr>
              <w:t>儿童戏剧文学</w:t>
            </w:r>
          </w:p>
        </w:tc>
        <w:tc>
          <w:tcPr>
            <w:tcW w:w="2322" w:type="dxa"/>
            <w:shd w:val="clear" w:color="auto" w:fill="auto"/>
            <w:vAlign w:val="top"/>
          </w:tcPr>
          <w:p w14:paraId="3387219B">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29635D27">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教学方法：运用案例式教学、启发式教学、讨论式教学、主题演讲、情景教学法等多种互动教学方法进行。</w:t>
            </w:r>
          </w:p>
          <w:p w14:paraId="781E0D6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教学条件：多媒体教室和智慧校园平台。</w:t>
            </w:r>
          </w:p>
          <w:p w14:paraId="497118AE">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评价建议：采取学习过程考核评定学习效果。</w:t>
            </w:r>
          </w:p>
        </w:tc>
      </w:tr>
      <w:tr w14:paraId="6B4A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4DD2BE74">
            <w:pPr>
              <w:pageBreakBefore w:val="0"/>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中外学前教育史</w:t>
            </w:r>
          </w:p>
        </w:tc>
        <w:tc>
          <w:tcPr>
            <w:tcW w:w="2767" w:type="dxa"/>
            <w:shd w:val="clear" w:color="auto" w:fill="auto"/>
            <w:vAlign w:val="top"/>
          </w:tcPr>
          <w:p w14:paraId="13C23F56">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6743663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（1）了解并认识中外学前教育形成和发展的历程，基本掌握中外学前教育思想和教育制度发展的主要内容。认识不同时期中外学前教育发展的特点和存在的基本问题；</w:t>
            </w:r>
          </w:p>
          <w:p w14:paraId="2E60BBF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（2）了解中外学前教育思想、教育制度、教育实践的基本脉络，获得中外学前教育改革基本经验。</w:t>
            </w:r>
          </w:p>
          <w:p w14:paraId="0C2A31AE">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1EC1E02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初步形成具有历史感的教育眼光，对于教育问题有比较敏感的把握能力，以及具有分析和比较研究教育的问题的能力，洋为中用，为我国不学前教育改革和发展提供历史借鉴。</w:t>
            </w:r>
          </w:p>
          <w:p w14:paraId="0D2F5C59">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29304531">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sz w:val="18"/>
                <w:szCs w:val="18"/>
              </w:rPr>
              <w:t>培养学生对教育问题的关注意识，同时感知教育家为教育献身的精神和关心教育事业的热情，激发对学前教育事业的热爱。</w:t>
            </w:r>
          </w:p>
        </w:tc>
        <w:tc>
          <w:tcPr>
            <w:tcW w:w="2518" w:type="dxa"/>
            <w:shd w:val="clear" w:color="auto" w:fill="auto"/>
            <w:vAlign w:val="top"/>
          </w:tcPr>
          <w:p w14:paraId="2539C2F0">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模块一：</w:t>
            </w:r>
            <w:r>
              <w:rPr>
                <w:rFonts w:hint="eastAsia" w:ascii="宋体" w:hAnsi="宋体" w:cs="宋体"/>
                <w:sz w:val="18"/>
                <w:szCs w:val="18"/>
              </w:rPr>
              <w:t>中国古代学前教育</w:t>
            </w:r>
          </w:p>
          <w:p w14:paraId="4A96B23D">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模块二：</w:t>
            </w:r>
            <w:r>
              <w:rPr>
                <w:rFonts w:hint="eastAsia" w:ascii="宋体" w:hAnsi="宋体" w:cs="宋体"/>
                <w:sz w:val="18"/>
                <w:szCs w:val="18"/>
              </w:rPr>
              <w:t>中国古代学前教育思想</w:t>
            </w:r>
          </w:p>
          <w:p w14:paraId="77E78C53">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模块三：</w:t>
            </w:r>
            <w:r>
              <w:rPr>
                <w:rFonts w:hint="eastAsia" w:ascii="宋体" w:hAnsi="宋体" w:cs="宋体"/>
                <w:sz w:val="18"/>
                <w:szCs w:val="18"/>
              </w:rPr>
              <w:t>中国近代学前教育产生</w:t>
            </w:r>
          </w:p>
          <w:p w14:paraId="6C0FB359">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模块四：</w:t>
            </w:r>
            <w:r>
              <w:rPr>
                <w:rFonts w:hint="eastAsia" w:ascii="宋体" w:hAnsi="宋体" w:cs="宋体"/>
                <w:sz w:val="18"/>
                <w:szCs w:val="18"/>
              </w:rPr>
              <w:t>五四运动前后学前教育</w:t>
            </w:r>
          </w:p>
          <w:p w14:paraId="4CC94EE9">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模块五：</w:t>
            </w:r>
            <w:r>
              <w:rPr>
                <w:rFonts w:hint="eastAsia" w:ascii="宋体" w:hAnsi="宋体" w:cs="宋体"/>
                <w:sz w:val="18"/>
                <w:szCs w:val="18"/>
              </w:rPr>
              <w:t>张雪门的学前教育思想</w:t>
            </w:r>
          </w:p>
          <w:p w14:paraId="0E20B78F">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p>
        </w:tc>
        <w:tc>
          <w:tcPr>
            <w:tcW w:w="2322" w:type="dxa"/>
            <w:shd w:val="clear" w:color="auto" w:fill="auto"/>
            <w:vAlign w:val="top"/>
          </w:tcPr>
          <w:p w14:paraId="6FCCFCED">
            <w:pPr>
              <w:pStyle w:val="6"/>
              <w:keepNext w:val="0"/>
              <w:keepLines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教学模式：理论课教学基于“以学生为中心”的教学理念，采取“导新课－学新知－品案例－思问题－拓知识”五位一体的教学模式，将授课内容与学生兴趣相结合，达到良好的教学效果。</w:t>
            </w:r>
          </w:p>
          <w:p w14:paraId="50939A8F">
            <w:pPr>
              <w:pageBreakBefore w:val="0"/>
              <w:widowControl/>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教学方法：采用讲解法、讨论法、实例分析法、课堂互动法等。</w:t>
            </w:r>
          </w:p>
          <w:p w14:paraId="0B65A489">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23BFAE82">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评价建议：由教师根据学生的课堂表现、课堂互动和考勤情况综合评定，占期末总成绩的30%；期末成绩占70%。将课前、课中、课后三个阶段的学习表现纳入过程考核，注重第二课堂学习成果增值性评价，综合评定学生学习效果。</w:t>
            </w:r>
          </w:p>
        </w:tc>
      </w:tr>
      <w:tr w14:paraId="63B8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59C8A5C9">
            <w:pPr>
              <w:pageBreakBefore w:val="0"/>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kern w:val="0"/>
                <w:sz w:val="18"/>
                <w:szCs w:val="18"/>
              </w:rPr>
              <w:t>幼儿园玩教具制作</w:t>
            </w:r>
          </w:p>
        </w:tc>
        <w:tc>
          <w:tcPr>
            <w:tcW w:w="2767" w:type="dxa"/>
            <w:shd w:val="clear" w:color="auto" w:fill="auto"/>
            <w:vAlign w:val="top"/>
          </w:tcPr>
          <w:p w14:paraId="1FC8C282">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52E8636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通过观察和操作材料，幼儿可以学习形状、颜色、大小等基本概念，增强对周围世界的认识和理解。</w:t>
            </w:r>
          </w:p>
          <w:p w14:paraId="628DB2BE">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40B2EFD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手工制作需要幼儿使用手指和手腕完成剪切、粘贴、绘画等动作，这有助于提高他们的手眼协调能力和精细动作技能。</w:t>
            </w:r>
          </w:p>
          <w:p w14:paraId="0141E10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创造力和想象力：鼓励幼儿自由发挥，创作独一无二的手工作品，激发他们的创造力和想象力。</w:t>
            </w:r>
          </w:p>
          <w:p w14:paraId="44F8AF5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解决问题能力：在制作过程中遇到困难时，幼儿需要思考如何解决问题，比如选择合适的材料、调整设计方案等，从而培养他们的问题解决能力。</w:t>
            </w:r>
          </w:p>
          <w:p w14:paraId="7E8238E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社交技能：在集体手工活动中，幼儿有机会与同伴交流合作，学会分享工具和材料，倾听他人意见，这有助于提升他们的社交技能和团队协作精神。</w:t>
            </w:r>
          </w:p>
          <w:p w14:paraId="4F73AE79">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62A9FFA6">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通过手工制作，幼儿可以将自己的情感和想法融入作品中，同时，耐心等待作品完成也有助于培养他们的情绪管理能力。</w:t>
            </w:r>
          </w:p>
        </w:tc>
        <w:tc>
          <w:tcPr>
            <w:tcW w:w="2518" w:type="dxa"/>
            <w:shd w:val="clear" w:color="auto" w:fill="auto"/>
            <w:vAlign w:val="top"/>
          </w:tcPr>
          <w:p w14:paraId="2BED32D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1.纸工：包括平面纸工（如剪纸、剪纸贴画）和立体纸工（如折纸、衍纸）等基本技法的教授，以及纸工教学案例分析。</w:t>
            </w:r>
          </w:p>
          <w:p w14:paraId="2C52A36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2.泥工：涉及传统泥塑和黏土造型的基本方法，以及手工黏土作品的创作，泥工教学的价值和案例也是教学重点。</w:t>
            </w:r>
          </w:p>
          <w:p w14:paraId="56BB752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3.布艺：包括民间布艺的表现内容和艺术特点，布艺制作方法（如粘贴、缝制针法、填充），以及布贴画和立体布艺制作的技巧。</w:t>
            </w:r>
          </w:p>
          <w:p w14:paraId="59A2C52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4.绳艺：教授传统绳结的基本结法和线形材料的平面及立体造型方法。</w:t>
            </w:r>
          </w:p>
          <w:p w14:paraId="68F3B69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5.环保材料手工制作：利用回收材料进行创意制作，培养幼儿的环保意识和创新能力。</w:t>
            </w:r>
          </w:p>
          <w:p w14:paraId="7D794616">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6.幼儿园自制玩教具：设计和制作适合幼儿游戏和学习的教具，增加教学互动性和趣味性。</w:t>
            </w:r>
          </w:p>
        </w:tc>
        <w:tc>
          <w:tcPr>
            <w:tcW w:w="2322" w:type="dxa"/>
            <w:shd w:val="clear" w:color="auto" w:fill="auto"/>
            <w:vAlign w:val="top"/>
          </w:tcPr>
          <w:p w14:paraId="2781C9DE">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6C24BD3C">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教学方法：运用案例式教学、启发式教学、讨论式教学、主题演讲、情景教学法等多种互动教学方法进行。</w:t>
            </w:r>
          </w:p>
          <w:p w14:paraId="330FEE9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教学条件：多媒体教室和智慧校园平台。</w:t>
            </w:r>
          </w:p>
          <w:p w14:paraId="34AC4020">
            <w:pPr>
              <w:pageBreakBefore w:val="0"/>
              <w:kinsoku/>
              <w:wordWrap/>
              <w:overflowPunct/>
              <w:topLinePunct w:val="0"/>
              <w:bidi w:val="0"/>
              <w:spacing w:line="360" w:lineRule="exact"/>
              <w:rPr>
                <w:rFonts w:hint="eastAsia" w:ascii="宋体" w:hAnsi="宋体" w:eastAsia="宋体" w:cs="宋体"/>
                <w:b/>
                <w:kern w:val="2"/>
                <w:sz w:val="18"/>
                <w:szCs w:val="18"/>
                <w:lang w:val="en-US" w:eastAsia="zh-CN" w:bidi="ar-SA"/>
              </w:rPr>
            </w:pPr>
            <w:r>
              <w:rPr>
                <w:rFonts w:hint="eastAsia" w:ascii="宋体" w:hAnsi="宋体" w:cs="宋体"/>
                <w:bCs/>
                <w:sz w:val="18"/>
                <w:szCs w:val="18"/>
              </w:rPr>
              <w:t>评价建议：采取学习过程考核评定学习效果。</w:t>
            </w:r>
          </w:p>
        </w:tc>
      </w:tr>
      <w:tr w14:paraId="5ABB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76AF3A59">
            <w:pPr>
              <w:pageBreakBefore w:val="0"/>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儿歌弹唱</w:t>
            </w:r>
          </w:p>
        </w:tc>
        <w:tc>
          <w:tcPr>
            <w:tcW w:w="2767" w:type="dxa"/>
            <w:shd w:val="clear" w:color="auto" w:fill="auto"/>
            <w:vAlign w:val="top"/>
          </w:tcPr>
          <w:p w14:paraId="03253BDC">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607A9C8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基础乐理：了解音符、节奏、旋律等基本音乐元素，能够识别简单的乐谱。</w:t>
            </w:r>
          </w:p>
          <w:p w14:paraId="365AC83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乐器演奏：掌握至少一种乐器的基本演奏技巧，如钢琴、吉他等，能够进行基本的伴奏。</w:t>
            </w:r>
          </w:p>
          <w:p w14:paraId="399FA18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歌曲演唱：学习正确的呼吸方法和发声技巧，能够准确地演唱儿歌，并表达歌曲的情感。</w:t>
            </w:r>
          </w:p>
          <w:p w14:paraId="0868C2D0">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638CACC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即兴创作：鼓励儿童在熟悉的基础上进行简单的旋律或歌词创作，培养其创新思维。</w:t>
            </w:r>
          </w:p>
          <w:p w14:paraId="43EACAE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舞台表现：通过肢体语言和面部表情，提升儿童在舞台上的表现力和自信。</w:t>
            </w:r>
          </w:p>
          <w:p w14:paraId="77FB584B">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710FB98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团队协作：在合唱或合奏中学会与其他儿童协调配合，培养团队精神。</w:t>
            </w:r>
          </w:p>
          <w:p w14:paraId="31CBB18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交流沟通：通过音乐活动增进与同伴之间的交流，提高社交能力。</w:t>
            </w:r>
          </w:p>
          <w:p w14:paraId="2864BD0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通过儿歌传达积极向上的情感，培养儿童的情感认知和共鸣。</w:t>
            </w:r>
          </w:p>
          <w:p w14:paraId="7107B426">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引导儿童欣赏不同风格的儿歌，提高他们对美的感知和鉴赏能力。</w:t>
            </w:r>
          </w:p>
        </w:tc>
        <w:tc>
          <w:tcPr>
            <w:tcW w:w="2518" w:type="dxa"/>
            <w:shd w:val="clear" w:color="auto" w:fill="auto"/>
            <w:vAlign w:val="top"/>
          </w:tcPr>
          <w:p w14:paraId="2515097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1.儿歌弹唱基础知识：介绍儿歌的起源与发展，儿歌的特点与分类，以及基本的弹唱技巧和乐理知识。这些知识有助于学习者建立儿歌弹唱的基础框架。</w:t>
            </w:r>
          </w:p>
          <w:p w14:paraId="6F07394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2.儿歌弹唱实践训练：通过具体的儿歌曲目进行实操练习，包括正确的弹奏姿势和指法的示范，和弦转换、基本伴奏等技巧的演示，以及和声与伴奏技巧的讲解。</w:t>
            </w:r>
          </w:p>
          <w:p w14:paraId="1359B4F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3.儿歌创编与改编：教授学习者如何根据不同的教学需求对儿歌进行创作或改编，以增加教学的多样性和趣味性。</w:t>
            </w:r>
          </w:p>
          <w:p w14:paraId="1174855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4.儿歌弹唱教学方法探讨：分享有效的儿歌弹唱教学策略和方法，帮助教师更好地指导学生学习。</w:t>
            </w:r>
          </w:p>
          <w:p w14:paraId="2F3485AF">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5.儿歌弹唱在幼儿园教育中的应用：探讨如何将儿歌弹唱融入日常教学活动中，利用儿歌的教育功能促进幼儿全面发展。</w:t>
            </w:r>
          </w:p>
        </w:tc>
        <w:tc>
          <w:tcPr>
            <w:tcW w:w="2322" w:type="dxa"/>
            <w:shd w:val="clear" w:color="auto" w:fill="auto"/>
            <w:vAlign w:val="top"/>
          </w:tcPr>
          <w:p w14:paraId="5E1E54CB">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4374CB04">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教学方法：运用案例式教学、启发式教学、讨论式教学、主题演讲、情景教学法等多种互动教学方法进行。</w:t>
            </w:r>
          </w:p>
          <w:p w14:paraId="34C99B9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教学条件：多媒体教室和智慧校园平台。</w:t>
            </w:r>
          </w:p>
          <w:p w14:paraId="1FECD1FB">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评价建议：采取学习过程考核评定学习效果。</w:t>
            </w:r>
          </w:p>
        </w:tc>
      </w:tr>
      <w:tr w14:paraId="2C92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746CB10A">
            <w:pPr>
              <w:pageBreakBefore w:val="0"/>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家庭与社区教育</w:t>
            </w:r>
          </w:p>
        </w:tc>
        <w:tc>
          <w:tcPr>
            <w:tcW w:w="2767" w:type="dxa"/>
            <w:shd w:val="clear" w:color="auto" w:fill="auto"/>
            <w:vAlign w:val="top"/>
          </w:tcPr>
          <w:p w14:paraId="27A6FE45">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02AA079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理解家庭与社区教育的基础理论</w:t>
            </w:r>
          </w:p>
          <w:p w14:paraId="63A8D81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掌握家园共育与社区合作的方法策略</w:t>
            </w:r>
          </w:p>
          <w:p w14:paraId="6A210B44">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53D5345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家园沟通与协作能力</w:t>
            </w:r>
          </w:p>
          <w:p w14:paraId="72B9C6A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社区资源开发与整合能力</w:t>
            </w:r>
          </w:p>
          <w:p w14:paraId="31AC121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问题分析与解决能</w:t>
            </w:r>
          </w:p>
          <w:p w14:paraId="4986F28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力</w:t>
            </w:r>
          </w:p>
          <w:p w14:paraId="125DBFE1">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3.素养目标</w:t>
            </w:r>
          </w:p>
          <w:p w14:paraId="44907DB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树立正确的教育价值观</w:t>
            </w:r>
          </w:p>
          <w:p w14:paraId="7F4B75A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培养职业责任感与共情能力</w:t>
            </w:r>
          </w:p>
          <w:p w14:paraId="6E74D8DD">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强化创新与实践意识</w:t>
            </w:r>
          </w:p>
        </w:tc>
        <w:tc>
          <w:tcPr>
            <w:tcW w:w="2518" w:type="dxa"/>
            <w:shd w:val="clear" w:color="auto" w:fill="auto"/>
            <w:vAlign w:val="top"/>
          </w:tcPr>
          <w:p w14:paraId="711792A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1.家庭与社区教育基础理论</w:t>
            </w:r>
          </w:p>
          <w:p w14:paraId="0C74806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家庭与社区教育的本质与定位；理论基础与政策法规</w:t>
            </w:r>
          </w:p>
          <w:p w14:paraId="1DB1746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2.家庭沟通与家园共育实务</w:t>
            </w:r>
          </w:p>
          <w:p w14:paraId="48B6987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家园沟通技巧与策略</w:t>
            </w:r>
          </w:p>
          <w:p w14:paraId="29067BB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家园共育活动设计与组织</w:t>
            </w:r>
          </w:p>
          <w:p w14:paraId="454A520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特殊家庭的支持与指导</w:t>
            </w:r>
          </w:p>
          <w:p w14:paraId="69F2648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3.社区资源开发与教育活动设计</w:t>
            </w:r>
          </w:p>
          <w:p w14:paraId="71143CB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社区资源调研与评估</w:t>
            </w:r>
          </w:p>
          <w:p w14:paraId="187B8B6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社区教育活动设计与实施</w:t>
            </w:r>
          </w:p>
          <w:p w14:paraId="3AEAD88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社区合作机制建立</w:t>
            </w:r>
          </w:p>
          <w:p w14:paraId="2706FB9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4.家庭与社区教育问题与对策</w:t>
            </w:r>
          </w:p>
          <w:p w14:paraId="458ACA8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常见问题与解决策略</w:t>
            </w:r>
          </w:p>
          <w:p w14:paraId="0898168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家庭与社区教育评价</w:t>
            </w:r>
          </w:p>
          <w:p w14:paraId="6D2AAA3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5.实践与案例研讨</w:t>
            </w:r>
          </w:p>
          <w:p w14:paraId="07141F2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模拟实践与实训</w:t>
            </w:r>
          </w:p>
          <w:p w14:paraId="5B2676EE">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实地考察与案例分析</w:t>
            </w:r>
          </w:p>
        </w:tc>
        <w:tc>
          <w:tcPr>
            <w:tcW w:w="2322" w:type="dxa"/>
            <w:shd w:val="clear" w:color="auto" w:fill="auto"/>
            <w:vAlign w:val="top"/>
          </w:tcPr>
          <w:p w14:paraId="02F9DF3C">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7B628504">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教学方法：运用案例式教学、启发式教学、讨论式教学、主题演讲、情景教学法等多种互动教学方法进行。</w:t>
            </w:r>
          </w:p>
          <w:p w14:paraId="7724DF5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教学条件：多媒体教室和智慧校园平台。</w:t>
            </w:r>
          </w:p>
          <w:p w14:paraId="52ACCEF6">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评价建议：采取学习过程考核评定学习效果。</w:t>
            </w:r>
          </w:p>
        </w:tc>
      </w:tr>
      <w:tr w14:paraId="75EF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4418CF30">
            <w:pPr>
              <w:pageBreakBefore w:val="0"/>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奥尔夫音乐教学法</w:t>
            </w:r>
          </w:p>
        </w:tc>
        <w:tc>
          <w:tcPr>
            <w:tcW w:w="2767" w:type="dxa"/>
            <w:shd w:val="clear" w:color="auto" w:fill="auto"/>
            <w:vAlign w:val="top"/>
          </w:tcPr>
          <w:p w14:paraId="3CD47109">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7F6F705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培养幼儿表达情感,感受音乐的能力；培养幼儿在音乐、图画、舞蹈、戏剧、文学等艺术方面的造诣及能力；发展幼儿的思维力、想像力、创造力</w:t>
            </w:r>
          </w:p>
          <w:p w14:paraId="057E2D2E">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64B522D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发展演唱、演奏、舞蹈以及伴随音乐的游戏和动作表演活动中的人际沟通、协调、合作能力。体验集体音乐活动引发的积极向上的情绪、情感。</w:t>
            </w:r>
          </w:p>
          <w:p w14:paraId="7B0D884A">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61ACE28D">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sz w:val="18"/>
                <w:szCs w:val="18"/>
              </w:rPr>
              <w:t>养成对音乐舞蹈作品、乐器、道具及表演游戏场面的初步责任意识，以及初步的演员、观众的责任意识。让幼儿体验音乐的快乐、感受音乐的美。发展对音乐、舞蹈、艺术的审美敏感性以及对周围生。</w:t>
            </w:r>
          </w:p>
        </w:tc>
        <w:tc>
          <w:tcPr>
            <w:tcW w:w="2518" w:type="dxa"/>
            <w:shd w:val="clear" w:color="auto" w:fill="auto"/>
            <w:vAlign w:val="top"/>
          </w:tcPr>
          <w:p w14:paraId="78545E71">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模块一：</w:t>
            </w:r>
            <w:r>
              <w:rPr>
                <w:rFonts w:hint="eastAsia" w:ascii="宋体" w:hAnsi="宋体" w:cs="宋体"/>
                <w:sz w:val="18"/>
                <w:szCs w:val="18"/>
              </w:rPr>
              <w:t>奥尔夫音乐教学的基本知识</w:t>
            </w:r>
          </w:p>
          <w:p w14:paraId="4BB94274">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模块二：</w:t>
            </w:r>
            <w:r>
              <w:rPr>
                <w:rFonts w:hint="eastAsia" w:ascii="宋体" w:hAnsi="宋体" w:cs="宋体"/>
                <w:sz w:val="18"/>
                <w:szCs w:val="18"/>
              </w:rPr>
              <w:t>奥尔夫音乐教学的概念、内容、意义</w:t>
            </w:r>
          </w:p>
          <w:p w14:paraId="42FE4EF6">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模块三：</w:t>
            </w:r>
            <w:r>
              <w:rPr>
                <w:rFonts w:hint="eastAsia" w:ascii="宋体" w:hAnsi="宋体" w:cs="宋体"/>
                <w:sz w:val="18"/>
                <w:szCs w:val="18"/>
              </w:rPr>
              <w:t>奥尔夫音乐表现形式与编排</w:t>
            </w:r>
          </w:p>
          <w:p w14:paraId="7EFF0C5B">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模块四：</w:t>
            </w:r>
            <w:r>
              <w:rPr>
                <w:rFonts w:hint="eastAsia" w:ascii="宋体" w:hAnsi="宋体" w:cs="宋体"/>
                <w:sz w:val="18"/>
                <w:szCs w:val="18"/>
              </w:rPr>
              <w:t>音乐欣赏教学法</w:t>
            </w:r>
            <w:r>
              <w:rPr>
                <w:rFonts w:hint="eastAsia" w:ascii="宋体" w:hAnsi="宋体" w:cs="宋体"/>
                <w:bCs/>
                <w:sz w:val="18"/>
                <w:szCs w:val="18"/>
              </w:rPr>
              <w:t>模块五：</w:t>
            </w:r>
            <w:r>
              <w:rPr>
                <w:rFonts w:hint="eastAsia" w:ascii="宋体" w:hAnsi="宋体" w:cs="宋体"/>
                <w:sz w:val="18"/>
                <w:szCs w:val="18"/>
              </w:rPr>
              <w:t>音乐课计划的制订</w:t>
            </w:r>
          </w:p>
        </w:tc>
        <w:tc>
          <w:tcPr>
            <w:tcW w:w="2322" w:type="dxa"/>
            <w:shd w:val="clear" w:color="auto" w:fill="auto"/>
            <w:vAlign w:val="top"/>
          </w:tcPr>
          <w:p w14:paraId="19DBE935">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62C863DD">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教学方法：运用案例式教学、启发式教学、讨论式教学、主题演讲、情景教学法等多种互动教学方法进行。</w:t>
            </w:r>
          </w:p>
          <w:p w14:paraId="6D4B957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教学条件：多媒体教室和智慧校园平台。</w:t>
            </w:r>
          </w:p>
          <w:p w14:paraId="120515B7">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评价建议：采取学习过程考核评定学习效果。</w:t>
            </w:r>
          </w:p>
        </w:tc>
      </w:tr>
      <w:tr w14:paraId="3C20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24637663">
            <w:pPr>
              <w:pageBreakBefore w:val="0"/>
              <w:kinsoku/>
              <w:wordWrap/>
              <w:overflowPunct/>
              <w:topLinePunct w:val="0"/>
              <w:bidi w:val="0"/>
              <w:spacing w:line="360" w:lineRule="exact"/>
              <w:jc w:val="center"/>
              <w:rPr>
                <w:rFonts w:ascii="宋体" w:hAnsi="宋体" w:eastAsia="宋体" w:cs="宋体"/>
                <w:b/>
                <w:bCs/>
                <w:color w:val="0000FF"/>
                <w:kern w:val="0"/>
                <w:sz w:val="18"/>
                <w:szCs w:val="18"/>
                <w:lang w:val="en-US" w:eastAsia="zh-CN" w:bidi="ar-SA"/>
              </w:rPr>
            </w:pPr>
            <w:r>
              <w:rPr>
                <w:rFonts w:hint="eastAsia" w:ascii="宋体" w:hAnsi="宋体" w:cs="宋体"/>
                <w:b/>
                <w:bCs/>
                <w:color w:val="000000" w:themeColor="text1"/>
                <w:kern w:val="0"/>
                <w:sz w:val="18"/>
                <w:szCs w:val="18"/>
                <w14:textFill>
                  <w14:solidFill>
                    <w14:schemeClr w14:val="tx1"/>
                  </w14:solidFill>
                </w14:textFill>
              </w:rPr>
              <w:t>0-3</w:t>
            </w:r>
            <w:r>
              <w:rPr>
                <w:rFonts w:hint="eastAsia" w:ascii="宋体" w:hAnsi="宋体" w:cs="宋体"/>
                <w:b/>
                <w:bCs/>
                <w:kern w:val="0"/>
                <w:sz w:val="18"/>
                <w:szCs w:val="18"/>
              </w:rPr>
              <w:t>岁婴幼儿保育与教育</w:t>
            </w:r>
          </w:p>
        </w:tc>
        <w:tc>
          <w:tcPr>
            <w:tcW w:w="2767" w:type="dxa"/>
            <w:shd w:val="clear" w:color="auto" w:fill="auto"/>
            <w:vAlign w:val="top"/>
          </w:tcPr>
          <w:p w14:paraId="6E43D695">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00E8B0D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 0-3 岁婴幼儿身心发展规律</w:t>
            </w:r>
          </w:p>
          <w:p w14:paraId="432D711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理解保育与教育的融合理念</w:t>
            </w:r>
          </w:p>
          <w:p w14:paraId="38E217C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熟悉婴幼儿照护的政策与规范</w:t>
            </w:r>
          </w:p>
          <w:p w14:paraId="4DF9C29E">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2.技能目标</w:t>
            </w:r>
          </w:p>
          <w:p w14:paraId="2FA06AD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具备专业保育操作能力</w:t>
            </w:r>
          </w:p>
          <w:p w14:paraId="5D5F08D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能设计与实施适宜的早期教育活动</w:t>
            </w:r>
          </w:p>
          <w:p w14:paraId="5516C73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具备家园沟通与指导能力</w:t>
            </w:r>
          </w:p>
          <w:p w14:paraId="293FA817">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3.素养目标</w:t>
            </w:r>
          </w:p>
          <w:p w14:paraId="1C9E22B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树立以婴幼儿为中心的照护理念</w:t>
            </w:r>
          </w:p>
          <w:p w14:paraId="3BEFA38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培养职业责任感与伦理意识</w:t>
            </w:r>
          </w:p>
          <w:p w14:paraId="391830FE">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激发对早期教育的职业认同与创新思维</w:t>
            </w:r>
          </w:p>
        </w:tc>
        <w:tc>
          <w:tcPr>
            <w:tcW w:w="2518" w:type="dxa"/>
            <w:shd w:val="clear" w:color="auto" w:fill="auto"/>
            <w:vAlign w:val="top"/>
          </w:tcPr>
          <w:p w14:paraId="3D50C25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1.基础理论模块：认识 0-3 岁婴幼儿</w:t>
            </w:r>
          </w:p>
          <w:p w14:paraId="4846F49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婴幼儿身心发展规律</w:t>
            </w:r>
          </w:p>
          <w:p w14:paraId="18F2FF0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保育与教育的基本理念</w:t>
            </w:r>
          </w:p>
          <w:p w14:paraId="1D6179A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2.保育技能模块：科学照护婴幼儿</w:t>
            </w:r>
          </w:p>
          <w:p w14:paraId="7F574B4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生活照料实操</w:t>
            </w:r>
          </w:p>
          <w:p w14:paraId="559620D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健康管理与急救</w:t>
            </w:r>
          </w:p>
          <w:p w14:paraId="612A90F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3.早期教育模块：设计与实施适宜活动</w:t>
            </w:r>
          </w:p>
          <w:p w14:paraId="7227F8A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分龄活动设计与案例</w:t>
            </w:r>
          </w:p>
          <w:p w14:paraId="7F244E0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活动组织与观察评价</w:t>
            </w:r>
          </w:p>
          <w:p w14:paraId="509FC1D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4.家园共育模块：与家庭和社区协作</w:t>
            </w:r>
          </w:p>
          <w:p w14:paraId="6B87535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家庭育儿指导</w:t>
            </w:r>
          </w:p>
          <w:p w14:paraId="0FE1F470">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社区资源整合</w:t>
            </w:r>
          </w:p>
        </w:tc>
        <w:tc>
          <w:tcPr>
            <w:tcW w:w="2322" w:type="dxa"/>
            <w:shd w:val="clear" w:color="auto" w:fill="auto"/>
            <w:vAlign w:val="top"/>
          </w:tcPr>
          <w:p w14:paraId="59A07648">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4CF0E7B3">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教学方法：运用案例式教学、启发式教学、讨论式教学、主题演讲、情景教学法等多种互动教学方法进行。</w:t>
            </w:r>
          </w:p>
          <w:p w14:paraId="6DD4E12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教学条件：多媒体教室和智慧校园平台。</w:t>
            </w:r>
          </w:p>
          <w:p w14:paraId="61EEB438">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评价建议：采取学习过程考核评定学习效果。</w:t>
            </w:r>
          </w:p>
        </w:tc>
      </w:tr>
      <w:tr w14:paraId="514A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Align w:val="center"/>
          </w:tcPr>
          <w:p w14:paraId="284707B3">
            <w:pPr>
              <w:pageBreakBefore w:val="0"/>
              <w:kinsoku/>
              <w:wordWrap/>
              <w:overflowPunct/>
              <w:topLinePunct w:val="0"/>
              <w:bidi w:val="0"/>
              <w:spacing w:line="360" w:lineRule="exact"/>
              <w:jc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学前教育政策法规</w:t>
            </w:r>
          </w:p>
        </w:tc>
        <w:tc>
          <w:tcPr>
            <w:tcW w:w="2767" w:type="dxa"/>
          </w:tcPr>
          <w:p w14:paraId="11C80A42">
            <w:pPr>
              <w:pageBreakBefore w:val="0"/>
              <w:numPr>
                <w:ilvl w:val="0"/>
                <w:numId w:val="2"/>
              </w:numPr>
              <w:kinsoku/>
              <w:wordWrap/>
              <w:overflowPunct/>
              <w:topLinePunct w:val="0"/>
              <w:bidi w:val="0"/>
              <w:spacing w:line="360" w:lineRule="exact"/>
              <w:rPr>
                <w:rFonts w:hint="eastAsia" w:ascii="宋体" w:hAnsi="宋体" w:cs="宋体"/>
                <w:b/>
                <w:bCs w:val="0"/>
                <w:sz w:val="18"/>
                <w:szCs w:val="18"/>
              </w:rPr>
            </w:pPr>
            <w:r>
              <w:rPr>
                <w:rFonts w:hint="eastAsia" w:ascii="宋体" w:hAnsi="宋体" w:cs="宋体"/>
                <w:b/>
                <w:bCs w:val="0"/>
                <w:sz w:val="18"/>
                <w:szCs w:val="18"/>
              </w:rPr>
              <w:t>知识目标</w:t>
            </w:r>
          </w:p>
          <w:p w14:paraId="36068AB2">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掌握学前教育政策法规体系与发展脉络，熟记核心法规（如《未成年人保护法》《幼儿园工作规程》）的关键条款，明确政策法规的价值取向。​ </w:t>
            </w:r>
          </w:p>
          <w:p w14:paraId="422462AF">
            <w:pPr>
              <w:pageBreakBefore w:val="0"/>
              <w:numPr>
                <w:ilvl w:val="0"/>
                <w:numId w:val="2"/>
              </w:numPr>
              <w:kinsoku/>
              <w:wordWrap/>
              <w:overflowPunct/>
              <w:topLinePunct w:val="0"/>
              <w:bidi w:val="0"/>
              <w:spacing w:line="360" w:lineRule="exact"/>
              <w:ind w:left="0" w:leftChars="0" w:firstLine="0" w:firstLineChars="0"/>
              <w:rPr>
                <w:rFonts w:hint="eastAsia" w:ascii="宋体" w:hAnsi="宋体" w:cs="宋体"/>
                <w:b/>
                <w:bCs w:val="0"/>
                <w:sz w:val="18"/>
                <w:szCs w:val="18"/>
              </w:rPr>
            </w:pPr>
            <w:r>
              <w:rPr>
                <w:rFonts w:hint="eastAsia" w:ascii="宋体" w:hAnsi="宋体" w:cs="宋体"/>
                <w:b/>
                <w:bCs w:val="0"/>
                <w:sz w:val="18"/>
                <w:szCs w:val="18"/>
              </w:rPr>
              <w:t>能力目标</w:t>
            </w:r>
          </w:p>
          <w:p w14:paraId="7DD1B192">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能运用法规分析学前教育实践问题（如幼儿权益纠纷），具备辨别违法行为、提出基础法律建议的能力，可解读最新政策动态。</w:t>
            </w:r>
            <w:r>
              <w:rPr>
                <w:rFonts w:hint="eastAsia" w:ascii="宋体" w:hAnsi="宋体" w:cs="宋体"/>
                <w:b/>
                <w:bCs w:val="0"/>
                <w:sz w:val="18"/>
                <w:szCs w:val="18"/>
                <w:lang w:val="en-US" w:eastAsia="zh-CN"/>
              </w:rPr>
              <w:t>3.</w:t>
            </w:r>
            <w:r>
              <w:rPr>
                <w:rFonts w:hint="eastAsia" w:ascii="宋体" w:hAnsi="宋体" w:cs="宋体"/>
                <w:b/>
                <w:bCs w:val="0"/>
                <w:sz w:val="18"/>
                <w:szCs w:val="18"/>
              </w:rPr>
              <w:t>素养目标</w:t>
            </w:r>
          </w:p>
          <w:p w14:paraId="09B53943">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树立依法治教理念，强化幼儿权利保护意识（生命健康权、受教育权），培养学前教育专业伦理与法治责任感。</w:t>
            </w:r>
          </w:p>
        </w:tc>
        <w:tc>
          <w:tcPr>
            <w:tcW w:w="2518" w:type="dxa"/>
          </w:tcPr>
          <w:p w14:paraId="730CEF1B">
            <w:pPr>
              <w:pageBreakBefore w:val="0"/>
              <w:numPr>
                <w:ilvl w:val="0"/>
                <w:numId w:val="3"/>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基础理论模块​ </w:t>
            </w:r>
          </w:p>
          <w:p w14:paraId="53F83385">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核心知识：政策法规基本概念、体系结构（教育政策与法律的区别与联系）、学前教育法治发展历程；​ 学习重点：理解政策法规背后的教育理念（如儿童为本），厘清教育法律关系的构成要素。​ </w:t>
            </w:r>
          </w:p>
          <w:p w14:paraId="287A6DAA">
            <w:pPr>
              <w:pageBreakBefore w:val="0"/>
              <w:numPr>
                <w:ilvl w:val="0"/>
                <w:numId w:val="3"/>
              </w:numPr>
              <w:kinsoku/>
              <w:wordWrap/>
              <w:overflowPunct/>
              <w:topLinePunct w:val="0"/>
              <w:bidi w:val="0"/>
              <w:spacing w:line="360" w:lineRule="exact"/>
              <w:ind w:left="0" w:leftChars="0" w:firstLine="0" w:firstLineChars="0"/>
              <w:rPr>
                <w:rFonts w:hint="eastAsia" w:ascii="宋体" w:hAnsi="宋体" w:cs="宋体"/>
                <w:bCs/>
                <w:sz w:val="18"/>
                <w:szCs w:val="18"/>
              </w:rPr>
            </w:pPr>
            <w:r>
              <w:rPr>
                <w:rFonts w:hint="eastAsia" w:ascii="宋体" w:hAnsi="宋体" w:cs="宋体"/>
                <w:bCs/>
                <w:sz w:val="18"/>
                <w:szCs w:val="18"/>
              </w:rPr>
              <w:t xml:space="preserve">核心法规模块​ </w:t>
            </w:r>
          </w:p>
          <w:p w14:paraId="1F730BA7">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重点法规：《中华人民共和国教育法》《未成年人保护法》《幼儿园工作规程》《3-6 岁儿童学习与发展指南》等核心内容；​ </w:t>
            </w:r>
          </w:p>
          <w:p w14:paraId="63BE4C2D">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聚焦方向：幼儿与教师的权利义务、幼儿园设立与管理规范、安全保障与应急处置要求。​ </w:t>
            </w:r>
          </w:p>
          <w:p w14:paraId="7EA69D36">
            <w:pPr>
              <w:pageBreakBefore w:val="0"/>
              <w:numPr>
                <w:ilvl w:val="0"/>
                <w:numId w:val="3"/>
              </w:numPr>
              <w:kinsoku/>
              <w:wordWrap/>
              <w:overflowPunct/>
              <w:topLinePunct w:val="0"/>
              <w:bidi w:val="0"/>
              <w:spacing w:line="360" w:lineRule="exact"/>
              <w:ind w:left="0" w:leftChars="0" w:firstLine="0" w:firstLineChars="0"/>
              <w:rPr>
                <w:rFonts w:hint="eastAsia" w:ascii="宋体" w:hAnsi="宋体" w:cs="宋体"/>
                <w:bCs/>
                <w:sz w:val="18"/>
                <w:szCs w:val="18"/>
              </w:rPr>
            </w:pPr>
            <w:r>
              <w:rPr>
                <w:rFonts w:hint="eastAsia" w:ascii="宋体" w:hAnsi="宋体" w:cs="宋体"/>
                <w:bCs/>
                <w:sz w:val="18"/>
                <w:szCs w:val="18"/>
              </w:rPr>
              <w:t xml:space="preserve">实践应用模块​ </w:t>
            </w:r>
          </w:p>
          <w:p w14:paraId="2982B1B6">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案例分析：幼儿安全事故责任认定、师资聘用纠纷、教育教学违规等典型案例拆解；​ 场景应用：政策法规在幼儿园保教活动、卫生保健、家长沟通中的具体应用要点。</w:t>
            </w:r>
          </w:p>
        </w:tc>
        <w:tc>
          <w:tcPr>
            <w:tcW w:w="2322" w:type="dxa"/>
          </w:tcPr>
          <w:p w14:paraId="7318FAD7">
            <w:pPr>
              <w:pageBreakBefore w:val="0"/>
              <w:numPr>
                <w:ilvl w:val="0"/>
                <w:numId w:val="4"/>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教师要求​ </w:t>
            </w:r>
          </w:p>
          <w:p w14:paraId="2EDF56AC">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教学实施：按 “理论→法规→案例” 循序渐进，采用讲授法结合案例讨论、政策辩论等互动形式，补充最新政策文件。​ </w:t>
            </w:r>
          </w:p>
          <w:p w14:paraId="09133D22">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内容把控：突出法规实用性，聚焦幼儿园高频法律问题，结合《学前教育法规的理论与实践》等教材拓展案例库。​ </w:t>
            </w:r>
          </w:p>
          <w:p w14:paraId="7C8847D3">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评价反馈：通过案例分析报告、法规应用测试评估学习效果，课后针对实践问题提供精准指导。​ </w:t>
            </w:r>
          </w:p>
          <w:p w14:paraId="077F7E52">
            <w:pPr>
              <w:pageBreakBefore w:val="0"/>
              <w:numPr>
                <w:ilvl w:val="0"/>
                <w:numId w:val="4"/>
              </w:numPr>
              <w:kinsoku/>
              <w:wordWrap/>
              <w:overflowPunct/>
              <w:topLinePunct w:val="0"/>
              <w:bidi w:val="0"/>
              <w:spacing w:line="360" w:lineRule="exact"/>
              <w:ind w:left="0" w:leftChars="0" w:firstLine="0" w:firstLineChars="0"/>
              <w:rPr>
                <w:rFonts w:hint="eastAsia" w:ascii="宋体" w:hAnsi="宋体" w:cs="宋体"/>
                <w:bCs/>
                <w:sz w:val="18"/>
                <w:szCs w:val="18"/>
              </w:rPr>
            </w:pPr>
            <w:r>
              <w:rPr>
                <w:rFonts w:hint="eastAsia" w:ascii="宋体" w:hAnsi="宋体" w:cs="宋体"/>
                <w:bCs/>
                <w:sz w:val="18"/>
                <w:szCs w:val="18"/>
              </w:rPr>
              <w:t xml:space="preserve">学生要求​ </w:t>
            </w:r>
          </w:p>
          <w:p w14:paraId="021B5E50">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知识掌握：熟记核心法规关键条款，能梳理政策法规体系框架，理解幼儿权利保护的核心要义。​ </w:t>
            </w:r>
          </w:p>
          <w:p w14:paraId="1C15453F">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实践参与：积极参与案例讨论，主动搜集最新学前教育政策，完成 1 份实践问题法规解决方案。​ </w:t>
            </w:r>
          </w:p>
          <w:p w14:paraId="071701EE">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素养养成：树立 “依法保教” 意识，在模拟场景中规范运用法规分析问题，养成关注政策动态的习惯。</w:t>
            </w:r>
          </w:p>
        </w:tc>
      </w:tr>
      <w:tr w14:paraId="54BB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Align w:val="center"/>
          </w:tcPr>
          <w:p w14:paraId="6AE137AB">
            <w:pPr>
              <w:pageBreakBefore w:val="0"/>
              <w:kinsoku/>
              <w:wordWrap/>
              <w:overflowPunct/>
              <w:topLinePunct w:val="0"/>
              <w:bidi w:val="0"/>
              <w:spacing w:line="360" w:lineRule="exact"/>
              <w:jc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学前儿童融合教育</w:t>
            </w:r>
          </w:p>
        </w:tc>
        <w:tc>
          <w:tcPr>
            <w:tcW w:w="2767" w:type="dxa"/>
          </w:tcPr>
          <w:p w14:paraId="1364BA4F">
            <w:pPr>
              <w:pageBreakBefore w:val="0"/>
              <w:numPr>
                <w:ilvl w:val="0"/>
                <w:numId w:val="5"/>
              </w:numPr>
              <w:kinsoku/>
              <w:wordWrap/>
              <w:overflowPunct/>
              <w:topLinePunct w:val="0"/>
              <w:bidi w:val="0"/>
              <w:spacing w:line="360" w:lineRule="exact"/>
              <w:ind w:leftChars="0"/>
              <w:rPr>
                <w:rFonts w:hint="eastAsia" w:ascii="宋体" w:hAnsi="宋体" w:cs="宋体"/>
                <w:b/>
                <w:bCs w:val="0"/>
                <w:sz w:val="18"/>
                <w:szCs w:val="18"/>
              </w:rPr>
            </w:pPr>
            <w:r>
              <w:rPr>
                <w:rFonts w:hint="eastAsia" w:ascii="宋体" w:hAnsi="宋体" w:cs="宋体"/>
                <w:b/>
                <w:bCs w:val="0"/>
                <w:sz w:val="18"/>
                <w:szCs w:val="18"/>
              </w:rPr>
              <w:t>知识目标</w:t>
            </w:r>
          </w:p>
          <w:p w14:paraId="568A08BB">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掌握融合教育核心概念（如 IEP 个别化教育计划）、学前特殊需要儿童类型（自闭症、发育迟缓等）及发展特点，明晰融合教育政策依据（如《“十四五” 特殊教育发展提升行动计划》）。​ </w:t>
            </w:r>
          </w:p>
          <w:p w14:paraId="2E7F8338">
            <w:pPr>
              <w:pageBreakBefore w:val="0"/>
              <w:numPr>
                <w:ilvl w:val="0"/>
                <w:numId w:val="5"/>
              </w:numPr>
              <w:kinsoku/>
              <w:wordWrap/>
              <w:overflowPunct/>
              <w:topLinePunct w:val="0"/>
              <w:bidi w:val="0"/>
              <w:spacing w:line="360" w:lineRule="exact"/>
              <w:ind w:left="0" w:leftChars="0" w:firstLine="0" w:firstLineChars="0"/>
              <w:rPr>
                <w:rFonts w:hint="eastAsia" w:ascii="宋体" w:hAnsi="宋体" w:cs="宋体"/>
                <w:b/>
                <w:bCs w:val="0"/>
                <w:sz w:val="18"/>
                <w:szCs w:val="18"/>
              </w:rPr>
            </w:pPr>
            <w:r>
              <w:rPr>
                <w:rFonts w:hint="eastAsia" w:ascii="宋体" w:hAnsi="宋体" w:cs="宋体"/>
                <w:b/>
                <w:bCs w:val="0"/>
                <w:sz w:val="18"/>
                <w:szCs w:val="18"/>
              </w:rPr>
              <w:t>能力目标</w:t>
            </w:r>
          </w:p>
          <w:p w14:paraId="052FDEA4">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能初步识别特殊需要儿童的发展需求，设计简易融合教育活动方案，具备与特殊儿童家长、康复师协作的基础能力。​ </w:t>
            </w:r>
          </w:p>
          <w:p w14:paraId="2AB62226">
            <w:pPr>
              <w:pageBreakBefore w:val="0"/>
              <w:numPr>
                <w:ilvl w:val="0"/>
                <w:numId w:val="5"/>
              </w:numPr>
              <w:kinsoku/>
              <w:wordWrap/>
              <w:overflowPunct/>
              <w:topLinePunct w:val="0"/>
              <w:bidi w:val="0"/>
              <w:spacing w:line="360" w:lineRule="exact"/>
              <w:ind w:left="0" w:leftChars="0" w:firstLine="0" w:firstLineChars="0"/>
              <w:rPr>
                <w:rFonts w:hint="eastAsia" w:ascii="宋体" w:hAnsi="宋体" w:cs="宋体"/>
                <w:b/>
                <w:bCs w:val="0"/>
                <w:sz w:val="18"/>
                <w:szCs w:val="18"/>
              </w:rPr>
            </w:pPr>
            <w:r>
              <w:rPr>
                <w:rFonts w:hint="eastAsia" w:ascii="宋体" w:hAnsi="宋体" w:cs="宋体"/>
                <w:b/>
                <w:bCs w:val="0"/>
                <w:sz w:val="18"/>
                <w:szCs w:val="18"/>
              </w:rPr>
              <w:t>素养目标</w:t>
            </w:r>
          </w:p>
          <w:p w14:paraId="7575FC22">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树立 “全纳平等” 教育理念，消除对特殊儿童的偏见，培养尊重差异、关注每一位儿童发展的教育责任感。</w:t>
            </w:r>
          </w:p>
        </w:tc>
        <w:tc>
          <w:tcPr>
            <w:tcW w:w="2518" w:type="dxa"/>
          </w:tcPr>
          <w:p w14:paraId="3F92D11E">
            <w:pPr>
              <w:pageBreakBefore w:val="0"/>
              <w:numPr>
                <w:ilvl w:val="0"/>
                <w:numId w:val="6"/>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基础认知模块​ </w:t>
            </w:r>
          </w:p>
          <w:p w14:paraId="37496912">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核心知识：融合教育的起源与发展、学前特殊需要儿童常见类型（自闭症、智力障碍、肢体残疾等）及核心特征；​ </w:t>
            </w:r>
          </w:p>
          <w:p w14:paraId="6D8D19A0">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学习重点：理解 “最少限制环境”“个别化支持” 等理念，掌握特殊儿童发展评估的基础方法（如观察评估、简易量表使用）。​ </w:t>
            </w:r>
          </w:p>
          <w:p w14:paraId="028339C7">
            <w:pPr>
              <w:pageBreakBefore w:val="0"/>
              <w:numPr>
                <w:ilvl w:val="0"/>
                <w:numId w:val="6"/>
              </w:numPr>
              <w:kinsoku/>
              <w:wordWrap/>
              <w:overflowPunct/>
              <w:topLinePunct w:val="0"/>
              <w:bidi w:val="0"/>
              <w:spacing w:line="360" w:lineRule="exact"/>
              <w:ind w:left="0" w:leftChars="0" w:firstLine="0" w:firstLineChars="0"/>
              <w:rPr>
                <w:rFonts w:hint="eastAsia" w:ascii="宋体" w:hAnsi="宋体" w:cs="宋体"/>
                <w:bCs/>
                <w:sz w:val="18"/>
                <w:szCs w:val="18"/>
              </w:rPr>
            </w:pPr>
            <w:r>
              <w:rPr>
                <w:rFonts w:hint="eastAsia" w:ascii="宋体" w:hAnsi="宋体" w:cs="宋体"/>
                <w:bCs/>
                <w:sz w:val="18"/>
                <w:szCs w:val="18"/>
              </w:rPr>
              <w:t xml:space="preserve">核心策略模块​ </w:t>
            </w:r>
          </w:p>
          <w:p w14:paraId="0EF99456">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教学策略：差异化教学（集体活动中分层设计目标）、辅助技术应用（如视觉提示卡、沟通板）、行为支持策略（正向行为干预）；​ </w:t>
            </w:r>
          </w:p>
          <w:p w14:paraId="79C6628A">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支持方法：同伴互助（普通儿童与特殊儿童结对）、家园协同（与特殊儿童家长制定共育计划）、跨专业协作（与康复师衔接康复目标）。​ </w:t>
            </w:r>
          </w:p>
          <w:p w14:paraId="6542227A">
            <w:pPr>
              <w:pageBreakBefore w:val="0"/>
              <w:numPr>
                <w:ilvl w:val="0"/>
                <w:numId w:val="6"/>
              </w:numPr>
              <w:kinsoku/>
              <w:wordWrap/>
              <w:overflowPunct/>
              <w:topLinePunct w:val="0"/>
              <w:bidi w:val="0"/>
              <w:spacing w:line="360" w:lineRule="exact"/>
              <w:ind w:left="0" w:leftChars="0" w:firstLine="0" w:firstLineChars="0"/>
              <w:rPr>
                <w:rFonts w:hint="eastAsia" w:ascii="宋体" w:hAnsi="宋体" w:cs="宋体"/>
                <w:bCs/>
                <w:sz w:val="18"/>
                <w:szCs w:val="18"/>
              </w:rPr>
            </w:pPr>
            <w:r>
              <w:rPr>
                <w:rFonts w:hint="eastAsia" w:ascii="宋体" w:hAnsi="宋体" w:cs="宋体"/>
                <w:bCs/>
                <w:sz w:val="18"/>
                <w:szCs w:val="18"/>
              </w:rPr>
              <w:t xml:space="preserve">实践应用模块​ </w:t>
            </w:r>
          </w:p>
          <w:p w14:paraId="3C5ADC4F">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场景设计：融合教育集体教学活动设计（如语言、艺术领域）、区角游戏适配调整（如为肢体残疾儿童改造操作材料）；​ </w:t>
            </w:r>
          </w:p>
          <w:p w14:paraId="6E858CDB">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案例分析：特殊儿童入园适应、同伴交往冲突、行为问题干预等典型案例拆解，提炼解决方案。</w:t>
            </w:r>
          </w:p>
        </w:tc>
        <w:tc>
          <w:tcPr>
            <w:tcW w:w="2322" w:type="dxa"/>
          </w:tcPr>
          <w:p w14:paraId="190CAE03">
            <w:pPr>
              <w:pageBreakBefore w:val="0"/>
              <w:numPr>
                <w:ilvl w:val="0"/>
                <w:numId w:val="7"/>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教师要求​ </w:t>
            </w:r>
          </w:p>
          <w:p w14:paraId="568539EE">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教学实施：按 “认知→策略→实践” 循序渐进，采用案例教学、模拟课堂、实地观摩（如参观融合幼儿园）等形式，补充最新政策与实践案例。​ </w:t>
            </w:r>
          </w:p>
          <w:p w14:paraId="0B8178DE">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内容把控：聚焦幼儿园真实场景需求，结合《学前融合教育理论与实践》等教材，引入一线教师、康复师分享经验。​ </w:t>
            </w:r>
          </w:p>
          <w:p w14:paraId="09569BED">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评价反馈：通过活动方案设计、案例分析报告评估学习效果，针对实践中的策略应用问题提供个性化指导。​ </w:t>
            </w:r>
            <w:r>
              <w:rPr>
                <w:rFonts w:hint="eastAsia" w:ascii="宋体" w:hAnsi="宋体" w:cs="宋体"/>
                <w:bCs/>
                <w:sz w:val="18"/>
                <w:szCs w:val="18"/>
                <w:lang w:val="en-US" w:eastAsia="zh-CN"/>
              </w:rPr>
              <w:t>2.</w:t>
            </w:r>
            <w:r>
              <w:rPr>
                <w:rFonts w:hint="eastAsia" w:ascii="宋体" w:hAnsi="宋体" w:cs="宋体"/>
                <w:bCs/>
                <w:sz w:val="18"/>
                <w:szCs w:val="18"/>
              </w:rPr>
              <w:t xml:space="preserve">学生要求​ </w:t>
            </w:r>
          </w:p>
          <w:p w14:paraId="15B2EF26">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知识掌握：熟记融合教育核心概念与政策要点，能区分不同类型特殊儿童的发展特点，理解差异化教学的核心逻辑。​ </w:t>
            </w:r>
          </w:p>
          <w:p w14:paraId="14A1630F">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实践参与：积极参与模拟教学、案例讨论，主动搜集融合教育实践案例，完成 1 份针对特殊儿童的简易活动方案设计。​ </w:t>
            </w:r>
          </w:p>
          <w:p w14:paraId="7896C067">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素养养成：树立 “全纳” 理念，避免对特殊儿童的刻板印象，在实践模拟中注重尊重儿童差异，养成关注每一位儿童需求的习惯。</w:t>
            </w:r>
          </w:p>
        </w:tc>
      </w:tr>
    </w:tbl>
    <w:p w14:paraId="7D7A8BEF">
      <w:pPr>
        <w:pageBreakBefore w:val="0"/>
        <w:kinsoku/>
        <w:wordWrap/>
        <w:overflowPunct/>
        <w:topLinePunct w:val="0"/>
        <w:bidi w:val="0"/>
        <w:spacing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2330"/>
        <w:gridCol w:w="2302"/>
        <w:gridCol w:w="3058"/>
      </w:tblGrid>
      <w:tr w14:paraId="5BC7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vAlign w:val="center"/>
          </w:tcPr>
          <w:p w14:paraId="4E835EB9">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330" w:type="dxa"/>
            <w:vAlign w:val="center"/>
          </w:tcPr>
          <w:p w14:paraId="5FF6B5EC">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302" w:type="dxa"/>
            <w:vAlign w:val="center"/>
          </w:tcPr>
          <w:p w14:paraId="236AED99">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3058" w:type="dxa"/>
            <w:vAlign w:val="center"/>
          </w:tcPr>
          <w:p w14:paraId="38E5BC38">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6916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shd w:val="clear" w:color="auto" w:fill="auto"/>
            <w:vAlign w:val="center"/>
          </w:tcPr>
          <w:p w14:paraId="245EC3D4">
            <w:pPr>
              <w:pageBreakBefore w:val="0"/>
              <w:kinsoku/>
              <w:wordWrap/>
              <w:overflowPunct/>
              <w:topLinePunct w:val="0"/>
              <w:bidi w:val="0"/>
              <w:spacing w:line="360" w:lineRule="exact"/>
              <w:jc w:val="center"/>
              <w:rPr>
                <w:rFonts w:ascii="宋体" w:hAnsi="宋体" w:cs="宋体"/>
                <w:b/>
                <w:bCs w:val="0"/>
                <w:sz w:val="18"/>
                <w:szCs w:val="18"/>
              </w:rPr>
            </w:pPr>
            <w:r>
              <w:rPr>
                <w:rFonts w:hint="eastAsia" w:ascii="宋体" w:hAnsi="宋体" w:cs="宋体"/>
                <w:b/>
                <w:bCs w:val="0"/>
                <w:sz w:val="18"/>
                <w:szCs w:val="18"/>
              </w:rPr>
              <w:t>岗位实习</w:t>
            </w:r>
          </w:p>
        </w:tc>
        <w:tc>
          <w:tcPr>
            <w:tcW w:w="2330" w:type="dxa"/>
            <w:shd w:val="clear" w:color="auto" w:fill="auto"/>
          </w:tcPr>
          <w:p w14:paraId="40DC1563">
            <w:pPr>
              <w:pStyle w:val="6"/>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岗位实习是教学计划的重要部分，是实践性教学的重要环节，是实现培养目标的最后教学阶段。其目的是培养学生运用所学的理论知识独立分析问题、解决问题的能力和科学思维方法，树立良好的职业素养和爱岗敬业精神；</w:t>
            </w:r>
          </w:p>
          <w:p w14:paraId="591AD7C3">
            <w:pPr>
              <w:pStyle w:val="6"/>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2.巩固和提高所学的基础理论，加强技能和实践工作能力，为毕业后的工作打下良好的基础。</w:t>
            </w:r>
          </w:p>
        </w:tc>
        <w:tc>
          <w:tcPr>
            <w:tcW w:w="2302" w:type="dxa"/>
            <w:shd w:val="clear" w:color="auto" w:fill="auto"/>
          </w:tcPr>
          <w:p w14:paraId="232CC2C1">
            <w:pPr>
              <w:pageBreakBefore w:val="0"/>
              <w:kinsoku/>
              <w:wordWrap/>
              <w:overflowPunct/>
              <w:topLinePunct w:val="0"/>
              <w:bidi w:val="0"/>
              <w:spacing w:line="360" w:lineRule="exact"/>
              <w:ind w:firstLine="360" w:firstLineChars="200"/>
              <w:rPr>
                <w:rFonts w:ascii="宋体" w:hAnsi="宋体" w:cs="宋体"/>
                <w:bCs/>
                <w:sz w:val="18"/>
                <w:szCs w:val="18"/>
              </w:rPr>
            </w:pPr>
            <w:r>
              <w:rPr>
                <w:rFonts w:hint="eastAsia" w:ascii="宋体" w:hAnsi="宋体" w:cs="宋体"/>
                <w:bCs/>
                <w:sz w:val="18"/>
                <w:szCs w:val="18"/>
              </w:rPr>
              <w:t>观察幼儿园环境，班级环境；了解师幼、幼幼、教师与家长之间的互动情况；熟悉幼儿一日活动安排；观察教师组织教育活动，学习经验实施教育活动，组织幼儿游戏与运动。</w:t>
            </w:r>
          </w:p>
          <w:p w14:paraId="4D7F8554">
            <w:pPr>
              <w:pageBreakBefore w:val="0"/>
              <w:kinsoku/>
              <w:wordWrap/>
              <w:overflowPunct/>
              <w:topLinePunct w:val="0"/>
              <w:bidi w:val="0"/>
              <w:spacing w:line="360" w:lineRule="exact"/>
              <w:ind w:firstLine="360" w:firstLineChars="200"/>
              <w:rPr>
                <w:rFonts w:ascii="宋体" w:hAnsi="宋体" w:cs="宋体"/>
                <w:bCs/>
                <w:sz w:val="18"/>
                <w:szCs w:val="18"/>
              </w:rPr>
            </w:pPr>
            <w:r>
              <w:rPr>
                <w:rFonts w:hint="eastAsia" w:ascii="宋体" w:hAnsi="宋体" w:cs="宋体"/>
                <w:bCs/>
                <w:sz w:val="18"/>
                <w:szCs w:val="18"/>
              </w:rPr>
              <w:t>整个过程不断与带班老师交流以学习经验，完善效果；在活动中观察揣摩幼儿心理、行为特征，针对个性差异与之互动；组织的活动涉及音乐、语言、社会、自然、健康五大领域；每周进行实习总结，填写专业实习周志；另外还协助保育员老师日常工作，初步组织幼儿的日常活动。</w:t>
            </w:r>
          </w:p>
        </w:tc>
        <w:tc>
          <w:tcPr>
            <w:tcW w:w="3058" w:type="dxa"/>
            <w:shd w:val="clear" w:color="auto" w:fill="auto"/>
          </w:tcPr>
          <w:p w14:paraId="65F3BA0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1.实习生应认真贯彻执行党的教育方针，以《幼儿园工作规程》及《幼儿园教育指导纲要》为指导，端正教育实习态度，积极投入实习工作。</w:t>
            </w:r>
          </w:p>
          <w:p w14:paraId="63F21BD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2.尊重实习幼儿园的领导、教师和其他工作人员，虚心向他们学习，为幼儿园做好事。</w:t>
            </w:r>
          </w:p>
          <w:p w14:paraId="187BFEF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3.服从老师的指导，请示工作、征求意见时要使用礼貌语言，不得在幼儿面前品评实习园的领导和教师。</w:t>
            </w:r>
          </w:p>
          <w:p w14:paraId="06C28A0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4.严格遵守实习园的各项规章制度，不迟到、早退，不无故请假和旷工，上班时间不得使用手机。</w:t>
            </w:r>
          </w:p>
          <w:p w14:paraId="6ECD377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5.实习生要认真钻研教材，认真备课、试讲、上课、听课、评课，认真做好班主任和保育工作。</w:t>
            </w:r>
          </w:p>
          <w:p w14:paraId="6CBA639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实习生要具有师表意识，穿着整洁，朴素大方，仪表端庄，不化浓妆，举止文明，待人有礼。要热爱儿童，关心儿童，耐心教育儿童，以自己的模范行动去影响幼儿。不得体罚和变相体罚幼儿。</w:t>
            </w:r>
          </w:p>
        </w:tc>
      </w:tr>
      <w:tr w14:paraId="0D3C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96" w:type="dxa"/>
            <w:shd w:val="clear" w:color="auto" w:fill="auto"/>
            <w:vAlign w:val="center"/>
          </w:tcPr>
          <w:p w14:paraId="53CD4585">
            <w:pPr>
              <w:pageBreakBefore w:val="0"/>
              <w:kinsoku/>
              <w:wordWrap/>
              <w:overflowPunct/>
              <w:topLinePunct w:val="0"/>
              <w:bidi w:val="0"/>
              <w:spacing w:line="360" w:lineRule="exact"/>
              <w:jc w:val="center"/>
              <w:rPr>
                <w:rFonts w:ascii="宋体" w:hAnsi="宋体" w:cs="宋体"/>
                <w:b/>
                <w:bCs w:val="0"/>
                <w:sz w:val="18"/>
                <w:szCs w:val="18"/>
              </w:rPr>
            </w:pPr>
            <w:bookmarkStart w:id="25" w:name="_Toc16644"/>
            <w:r>
              <w:rPr>
                <w:rFonts w:hint="eastAsia" w:ascii="宋体" w:hAnsi="宋体" w:cs="宋体"/>
                <w:b/>
                <w:bCs w:val="0"/>
                <w:sz w:val="18"/>
                <w:szCs w:val="18"/>
              </w:rPr>
              <w:t>毕业设计与毕业教育</w:t>
            </w:r>
          </w:p>
        </w:tc>
        <w:tc>
          <w:tcPr>
            <w:tcW w:w="2330" w:type="dxa"/>
            <w:shd w:val="clear" w:color="auto" w:fill="auto"/>
          </w:tcPr>
          <w:p w14:paraId="61D69BD2">
            <w:pPr>
              <w:pageBreakBefore w:val="0"/>
              <w:kinsoku/>
              <w:wordWrap/>
              <w:overflowPunct/>
              <w:topLinePunct w:val="0"/>
              <w:bidi w:val="0"/>
              <w:spacing w:line="360" w:lineRule="exact"/>
              <w:ind w:firstLine="360" w:firstLineChars="200"/>
              <w:rPr>
                <w:rFonts w:ascii="宋体" w:hAnsi="宋体" w:cs="宋体"/>
                <w:bCs/>
                <w:sz w:val="18"/>
                <w:szCs w:val="18"/>
              </w:rPr>
            </w:pPr>
            <w:r>
              <w:rPr>
                <w:rFonts w:hint="eastAsia" w:ascii="宋体" w:hAnsi="宋体" w:cs="宋体"/>
                <w:bCs/>
                <w:sz w:val="18"/>
                <w:szCs w:val="18"/>
              </w:rPr>
              <w:t>毕业设计是高职高专学前教育专业的一门必修综合性专业实践课程，毕业设计是教学过程的第三学年实习期间完成的一种总结性的实践教学环节，旨在通过系统训练，培养学生综合运用基础理论、专业知识和专业技能分析解决实际问题的能力，有利于提升学生的就业和创业能力。</w:t>
            </w:r>
          </w:p>
        </w:tc>
        <w:tc>
          <w:tcPr>
            <w:tcW w:w="2302" w:type="dxa"/>
            <w:shd w:val="clear" w:color="auto" w:fill="auto"/>
          </w:tcPr>
          <w:p w14:paraId="49833584">
            <w:pPr>
              <w:pageBreakBefore w:val="0"/>
              <w:kinsoku/>
              <w:wordWrap/>
              <w:overflowPunct/>
              <w:topLinePunct w:val="0"/>
              <w:bidi w:val="0"/>
              <w:spacing w:line="360" w:lineRule="exact"/>
              <w:ind w:firstLine="360" w:firstLineChars="200"/>
              <w:rPr>
                <w:rFonts w:ascii="宋体" w:hAnsi="宋体" w:cs="宋体"/>
                <w:bCs/>
                <w:sz w:val="18"/>
                <w:szCs w:val="18"/>
              </w:rPr>
            </w:pPr>
            <w:r>
              <w:rPr>
                <w:rFonts w:hint="eastAsia" w:ascii="宋体" w:hAnsi="宋体" w:cs="宋体"/>
                <w:bCs/>
                <w:sz w:val="18"/>
                <w:szCs w:val="18"/>
              </w:rPr>
              <w:t>本课程通过典型案例分析和描述，培养学生综合应用所学托育基础理论和专业知识，为婴幼儿提供优质托育服务及健康教育的能力，进一步提高和训练学生解决问题的思维能力，培养学生学以致用、融会贯通的综合运用知识能力，以及查阅文献的能力等。毕业设计强调理论联系实际，提高学生分析、解决托育服务过程中实际问题的能力，注意培养学生科学、求实、严谨、认真的工作作风。</w:t>
            </w:r>
          </w:p>
        </w:tc>
        <w:tc>
          <w:tcPr>
            <w:tcW w:w="3058" w:type="dxa"/>
            <w:shd w:val="clear" w:color="auto" w:fill="auto"/>
          </w:tcPr>
          <w:p w14:paraId="7FE2B60A">
            <w:pPr>
              <w:pageBreakBefore w:val="0"/>
              <w:kinsoku/>
              <w:wordWrap/>
              <w:overflowPunct/>
              <w:topLinePunct w:val="0"/>
              <w:bidi w:val="0"/>
              <w:spacing w:line="360" w:lineRule="exact"/>
              <w:ind w:firstLine="360" w:firstLineChars="200"/>
              <w:rPr>
                <w:rFonts w:ascii="宋体" w:hAnsi="宋体" w:cs="宋体"/>
                <w:bCs/>
                <w:sz w:val="18"/>
                <w:szCs w:val="18"/>
              </w:rPr>
            </w:pPr>
            <w:r>
              <w:rPr>
                <w:rFonts w:hint="eastAsia" w:ascii="宋体" w:hAnsi="宋体" w:cs="宋体"/>
                <w:bCs/>
                <w:sz w:val="18"/>
                <w:szCs w:val="18"/>
              </w:rPr>
              <w:t>毕业设计是大学生在毕业阶段所必须完成的重要任务之一，它既是对学生整个学业成果的综合展示，也是对学生所学专业知识的应用和实践的考验。一般来说，毕业设计的基本要求如下：</w:t>
            </w:r>
          </w:p>
          <w:p w14:paraId="678FB23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1.主题选择：选择一个与所学专业相关的主题，既要符合个人兴趣，又要具有一定的实用价值和研究意义。可以通过查阅文献、与导师交流以及调查研究来确定合适的主题。</w:t>
            </w:r>
          </w:p>
          <w:p w14:paraId="0A06616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2.创新性要求：毕业设计要求在已有的研究和实践基础上，具有一定的创新性。可以从理论上进行创新思考，提出新的观点或方法；也可以从实践中发现问题，并提出解决方案。</w:t>
            </w:r>
          </w:p>
          <w:p w14:paraId="517E146A">
            <w:pPr>
              <w:pStyle w:val="20"/>
              <w:pageBreakBefore w:val="0"/>
              <w:kinsoku/>
              <w:wordWrap/>
              <w:overflowPunct/>
              <w:topLinePunct w:val="0"/>
              <w:bidi w:val="0"/>
              <w:spacing w:line="360" w:lineRule="exact"/>
              <w:ind w:firstLine="0" w:firstLineChars="0"/>
              <w:rPr>
                <w:sz w:val="18"/>
                <w:szCs w:val="18"/>
              </w:rPr>
            </w:pPr>
            <w:r>
              <w:rPr>
                <w:rFonts w:hint="eastAsia"/>
                <w:bCs/>
                <w:sz w:val="18"/>
                <w:szCs w:val="18"/>
              </w:rPr>
              <w:t>3.时间管理：毕业设计需要按时完成，因此要合理安排时间，制定详细的计划，并严格执行。可以通过制定里程碑和设定小目标来保证进度的顺利进行。</w:t>
            </w:r>
          </w:p>
        </w:tc>
      </w:tr>
    </w:tbl>
    <w:p w14:paraId="4AC210DF">
      <w:pPr>
        <w:rPr>
          <w:b/>
          <w:sz w:val="24"/>
        </w:rPr>
      </w:pPr>
      <w:r>
        <w:rPr>
          <w:b/>
          <w:sz w:val="24"/>
        </w:rPr>
        <w:br w:type="page"/>
      </w:r>
    </w:p>
    <w:p w14:paraId="361EE93E">
      <w:pPr>
        <w:pStyle w:val="3"/>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25"/>
    </w:p>
    <w:p w14:paraId="3E87C405">
      <w:pPr>
        <w:pStyle w:val="4"/>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6" w:name="_Toc3332"/>
      <w:bookmarkStart w:id="27" w:name="_Toc18647"/>
      <w:r>
        <w:rPr>
          <w:rFonts w:hint="eastAsia"/>
          <w:sz w:val="21"/>
          <w:szCs w:val="21"/>
        </w:rPr>
        <w:t>（一）教学周数分学期分配表</w:t>
      </w:r>
      <w:bookmarkEnd w:id="26"/>
      <w:bookmarkEnd w:id="27"/>
    </w:p>
    <w:p w14:paraId="304F52F5">
      <w:pPr>
        <w:pageBreakBefore w:val="0"/>
        <w:kinsoku/>
        <w:wordWrap/>
        <w:overflowPunct/>
        <w:topLinePunct w:val="0"/>
        <w:bidi w:val="0"/>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14"/>
        <w:tblW w:w="52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285"/>
        <w:gridCol w:w="1240"/>
        <w:gridCol w:w="1153"/>
        <w:gridCol w:w="1226"/>
        <w:gridCol w:w="1500"/>
        <w:gridCol w:w="739"/>
        <w:gridCol w:w="526"/>
        <w:gridCol w:w="603"/>
      </w:tblGrid>
      <w:tr w14:paraId="430E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blHeader/>
          <w:jc w:val="center"/>
        </w:trPr>
        <w:tc>
          <w:tcPr>
            <w:tcW w:w="724" w:type="pct"/>
            <w:tcBorders>
              <w:tl2br w:val="single" w:color="auto" w:sz="4" w:space="0"/>
            </w:tcBorders>
            <w:shd w:val="clear" w:color="auto" w:fill="F2F2F2"/>
            <w:vAlign w:val="center"/>
          </w:tcPr>
          <w:p w14:paraId="1C2BAABB">
            <w:pPr>
              <w:pageBreakBefore w:val="0"/>
              <w:kinsoku/>
              <w:wordWrap/>
              <w:overflowPunct/>
              <w:topLinePunct w:val="0"/>
              <w:bidi w:val="0"/>
              <w:adjustRightInd w:val="0"/>
              <w:snapToGrid w:val="0"/>
              <w:spacing w:line="360" w:lineRule="exact"/>
              <w:rPr>
                <w:rFonts w:ascii="宋体" w:hAnsi="宋体" w:cs="宋体"/>
                <w:b/>
                <w:bCs/>
                <w:szCs w:val="21"/>
              </w:rPr>
            </w:pPr>
            <w:r>
              <w:rPr>
                <w:rFonts w:hint="eastAsia" w:ascii="宋体" w:hAnsi="宋体" w:cs="宋体"/>
                <w:b/>
                <w:bCs/>
                <w:szCs w:val="21"/>
              </w:rPr>
              <w:t xml:space="preserve">  </w:t>
            </w:r>
            <w:r>
              <w:rPr>
                <w:rFonts w:hint="eastAsia" w:ascii="宋体" w:hAnsi="宋体" w:cs="宋体"/>
                <w:b/>
                <w:bCs/>
                <w:szCs w:val="21"/>
                <w:lang w:val="en-US" w:eastAsia="zh-CN"/>
              </w:rPr>
              <w:t xml:space="preserve"> </w:t>
            </w:r>
            <w:r>
              <w:rPr>
                <w:rFonts w:hint="eastAsia" w:ascii="宋体" w:hAnsi="宋体" w:cs="宋体"/>
                <w:b/>
                <w:bCs/>
                <w:szCs w:val="21"/>
              </w:rPr>
              <w:t xml:space="preserve">    分类</w:t>
            </w:r>
          </w:p>
          <w:p w14:paraId="6CE44D4F">
            <w:pPr>
              <w:pageBreakBefore w:val="0"/>
              <w:kinsoku/>
              <w:wordWrap/>
              <w:overflowPunct/>
              <w:topLinePunct w:val="0"/>
              <w:bidi w:val="0"/>
              <w:adjustRightInd w:val="0"/>
              <w:snapToGrid w:val="0"/>
              <w:spacing w:line="360" w:lineRule="exact"/>
              <w:rPr>
                <w:rFonts w:ascii="宋体" w:hAnsi="宋体" w:cs="宋体"/>
                <w:b/>
                <w:bCs/>
                <w:szCs w:val="21"/>
              </w:rPr>
            </w:pPr>
            <w:r>
              <w:rPr>
                <w:rFonts w:hint="eastAsia" w:ascii="宋体" w:hAnsi="宋体" w:cs="宋体"/>
                <w:b/>
                <w:bCs/>
                <w:szCs w:val="21"/>
              </w:rPr>
              <w:t>学期</w:t>
            </w:r>
          </w:p>
        </w:tc>
        <w:tc>
          <w:tcPr>
            <w:tcW w:w="664" w:type="pct"/>
            <w:shd w:val="clear" w:color="auto" w:fill="F2F2F2"/>
            <w:vAlign w:val="center"/>
          </w:tcPr>
          <w:p w14:paraId="3A0A6079">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理实一体教学</w:t>
            </w:r>
          </w:p>
        </w:tc>
        <w:tc>
          <w:tcPr>
            <w:tcW w:w="640" w:type="pct"/>
            <w:shd w:val="clear" w:color="auto" w:fill="F2F2F2"/>
            <w:vAlign w:val="center"/>
          </w:tcPr>
          <w:p w14:paraId="2AF36A69">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综合实践教学</w:t>
            </w:r>
          </w:p>
        </w:tc>
        <w:tc>
          <w:tcPr>
            <w:tcW w:w="595" w:type="pct"/>
            <w:shd w:val="clear" w:color="auto" w:fill="F2F2F2"/>
            <w:vAlign w:val="center"/>
          </w:tcPr>
          <w:p w14:paraId="0F637E94">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入学教育与军训</w:t>
            </w:r>
          </w:p>
        </w:tc>
        <w:tc>
          <w:tcPr>
            <w:tcW w:w="633" w:type="pct"/>
            <w:shd w:val="clear" w:color="auto" w:fill="F2F2F2"/>
            <w:vAlign w:val="center"/>
          </w:tcPr>
          <w:p w14:paraId="35BC9913">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岗位实习</w:t>
            </w:r>
          </w:p>
        </w:tc>
        <w:tc>
          <w:tcPr>
            <w:tcW w:w="775" w:type="pct"/>
            <w:shd w:val="clear" w:color="auto" w:fill="F2F2F2"/>
            <w:vAlign w:val="center"/>
          </w:tcPr>
          <w:p w14:paraId="4DD949E9">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毕业设计与毕业教育</w:t>
            </w:r>
          </w:p>
        </w:tc>
        <w:tc>
          <w:tcPr>
            <w:tcW w:w="381" w:type="pct"/>
            <w:shd w:val="clear" w:color="auto" w:fill="F2F2F2"/>
            <w:vAlign w:val="center"/>
          </w:tcPr>
          <w:p w14:paraId="2C988A18">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考试</w:t>
            </w:r>
          </w:p>
        </w:tc>
        <w:tc>
          <w:tcPr>
            <w:tcW w:w="271" w:type="pct"/>
            <w:shd w:val="clear" w:color="auto" w:fill="F2F2F2"/>
            <w:vAlign w:val="center"/>
          </w:tcPr>
          <w:p w14:paraId="55CCD1F1">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机动</w:t>
            </w:r>
          </w:p>
        </w:tc>
        <w:tc>
          <w:tcPr>
            <w:tcW w:w="311" w:type="pct"/>
            <w:shd w:val="clear" w:color="auto" w:fill="F2F2F2"/>
            <w:vAlign w:val="center"/>
          </w:tcPr>
          <w:p w14:paraId="21FC1F83">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合计</w:t>
            </w:r>
          </w:p>
        </w:tc>
      </w:tr>
      <w:tr w14:paraId="5927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4" w:type="pct"/>
            <w:vAlign w:val="center"/>
          </w:tcPr>
          <w:p w14:paraId="03F1ECD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第一学期</w:t>
            </w:r>
          </w:p>
        </w:tc>
        <w:tc>
          <w:tcPr>
            <w:tcW w:w="664" w:type="pct"/>
            <w:vAlign w:val="center"/>
          </w:tcPr>
          <w:p w14:paraId="144CD37F">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16</w:t>
            </w:r>
          </w:p>
        </w:tc>
        <w:tc>
          <w:tcPr>
            <w:tcW w:w="640" w:type="pct"/>
            <w:vAlign w:val="center"/>
          </w:tcPr>
          <w:p w14:paraId="5798B444">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595" w:type="pct"/>
            <w:vAlign w:val="center"/>
          </w:tcPr>
          <w:p w14:paraId="7EAE8840">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3</w:t>
            </w:r>
          </w:p>
        </w:tc>
        <w:tc>
          <w:tcPr>
            <w:tcW w:w="633" w:type="pct"/>
            <w:vAlign w:val="center"/>
          </w:tcPr>
          <w:p w14:paraId="14AA156F">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775" w:type="pct"/>
            <w:vAlign w:val="center"/>
          </w:tcPr>
          <w:p w14:paraId="5B63B73C">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381" w:type="pct"/>
            <w:vAlign w:val="center"/>
          </w:tcPr>
          <w:p w14:paraId="3DAAAE48">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271" w:type="pct"/>
            <w:vAlign w:val="center"/>
          </w:tcPr>
          <w:p w14:paraId="609CA08C">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0</w:t>
            </w:r>
          </w:p>
        </w:tc>
        <w:tc>
          <w:tcPr>
            <w:tcW w:w="311" w:type="pct"/>
            <w:vAlign w:val="center"/>
          </w:tcPr>
          <w:p w14:paraId="01DA6B45">
            <w:pPr>
              <w:pStyle w:val="2"/>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20</w:t>
            </w:r>
          </w:p>
        </w:tc>
      </w:tr>
      <w:tr w14:paraId="2991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4" w:type="pct"/>
            <w:vAlign w:val="center"/>
          </w:tcPr>
          <w:p w14:paraId="03B51A5A">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第二学期</w:t>
            </w:r>
          </w:p>
        </w:tc>
        <w:tc>
          <w:tcPr>
            <w:tcW w:w="664" w:type="pct"/>
            <w:vAlign w:val="center"/>
          </w:tcPr>
          <w:p w14:paraId="4D324190">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18</w:t>
            </w:r>
          </w:p>
        </w:tc>
        <w:tc>
          <w:tcPr>
            <w:tcW w:w="640" w:type="pct"/>
            <w:vAlign w:val="center"/>
          </w:tcPr>
          <w:p w14:paraId="492AE606">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595" w:type="pct"/>
            <w:vAlign w:val="center"/>
          </w:tcPr>
          <w:p w14:paraId="6AC8C16B">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633" w:type="pct"/>
            <w:vAlign w:val="center"/>
          </w:tcPr>
          <w:p w14:paraId="39D95335">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775" w:type="pct"/>
            <w:vAlign w:val="center"/>
          </w:tcPr>
          <w:p w14:paraId="13898D36">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381" w:type="pct"/>
            <w:vAlign w:val="center"/>
          </w:tcPr>
          <w:p w14:paraId="709FDD61">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271" w:type="pct"/>
            <w:vAlign w:val="center"/>
          </w:tcPr>
          <w:p w14:paraId="01D85126">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311" w:type="pct"/>
            <w:vAlign w:val="center"/>
          </w:tcPr>
          <w:p w14:paraId="5F7B2C3B">
            <w:pPr>
              <w:pStyle w:val="2"/>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20</w:t>
            </w:r>
          </w:p>
        </w:tc>
      </w:tr>
      <w:tr w14:paraId="2D4D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4" w:type="pct"/>
            <w:vAlign w:val="center"/>
          </w:tcPr>
          <w:p w14:paraId="3F021E7C">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第三学期</w:t>
            </w:r>
          </w:p>
        </w:tc>
        <w:tc>
          <w:tcPr>
            <w:tcW w:w="664" w:type="pct"/>
            <w:vAlign w:val="center"/>
          </w:tcPr>
          <w:p w14:paraId="31B1A1FD">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18</w:t>
            </w:r>
          </w:p>
        </w:tc>
        <w:tc>
          <w:tcPr>
            <w:tcW w:w="640" w:type="pct"/>
            <w:vAlign w:val="center"/>
          </w:tcPr>
          <w:p w14:paraId="1BCB945D">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595" w:type="pct"/>
            <w:vAlign w:val="center"/>
          </w:tcPr>
          <w:p w14:paraId="7B9D2313">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633" w:type="pct"/>
            <w:vAlign w:val="center"/>
          </w:tcPr>
          <w:p w14:paraId="2B810049">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775" w:type="pct"/>
            <w:vAlign w:val="center"/>
          </w:tcPr>
          <w:p w14:paraId="28272811">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381" w:type="pct"/>
            <w:vAlign w:val="center"/>
          </w:tcPr>
          <w:p w14:paraId="12371E55">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271" w:type="pct"/>
            <w:vAlign w:val="center"/>
          </w:tcPr>
          <w:p w14:paraId="678DBF94">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311" w:type="pct"/>
            <w:vAlign w:val="center"/>
          </w:tcPr>
          <w:p w14:paraId="73D00801">
            <w:pPr>
              <w:pStyle w:val="2"/>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20</w:t>
            </w:r>
          </w:p>
        </w:tc>
      </w:tr>
      <w:tr w14:paraId="3EED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4" w:type="pct"/>
            <w:vAlign w:val="center"/>
          </w:tcPr>
          <w:p w14:paraId="29A06521">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第四学期</w:t>
            </w:r>
          </w:p>
        </w:tc>
        <w:tc>
          <w:tcPr>
            <w:tcW w:w="664" w:type="pct"/>
            <w:vAlign w:val="center"/>
          </w:tcPr>
          <w:p w14:paraId="4BC7172A">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18</w:t>
            </w:r>
          </w:p>
        </w:tc>
        <w:tc>
          <w:tcPr>
            <w:tcW w:w="640" w:type="pct"/>
            <w:vAlign w:val="center"/>
          </w:tcPr>
          <w:p w14:paraId="76527BD1">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595" w:type="pct"/>
            <w:vAlign w:val="center"/>
          </w:tcPr>
          <w:p w14:paraId="5581787A">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633" w:type="pct"/>
            <w:vAlign w:val="center"/>
          </w:tcPr>
          <w:p w14:paraId="27A5AF23">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775" w:type="pct"/>
            <w:vAlign w:val="center"/>
          </w:tcPr>
          <w:p w14:paraId="3094CD9D">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381" w:type="pct"/>
            <w:vAlign w:val="center"/>
          </w:tcPr>
          <w:p w14:paraId="5B1D9BDC">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271" w:type="pct"/>
            <w:vAlign w:val="center"/>
          </w:tcPr>
          <w:p w14:paraId="27A6B851">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311" w:type="pct"/>
            <w:vAlign w:val="center"/>
          </w:tcPr>
          <w:p w14:paraId="4B35D169">
            <w:pPr>
              <w:pStyle w:val="2"/>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20</w:t>
            </w:r>
          </w:p>
        </w:tc>
      </w:tr>
      <w:tr w14:paraId="3F37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4" w:type="pct"/>
            <w:vAlign w:val="center"/>
          </w:tcPr>
          <w:p w14:paraId="320CD71C">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第五学期</w:t>
            </w:r>
          </w:p>
        </w:tc>
        <w:tc>
          <w:tcPr>
            <w:tcW w:w="664" w:type="pct"/>
            <w:vAlign w:val="center"/>
          </w:tcPr>
          <w:p w14:paraId="6311EB6F">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640" w:type="pct"/>
            <w:vAlign w:val="center"/>
          </w:tcPr>
          <w:p w14:paraId="123F8D7C">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595" w:type="pct"/>
            <w:vAlign w:val="center"/>
          </w:tcPr>
          <w:p w14:paraId="6908F7B2">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633" w:type="pct"/>
            <w:vAlign w:val="center"/>
          </w:tcPr>
          <w:p w14:paraId="5157F671">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18</w:t>
            </w:r>
          </w:p>
        </w:tc>
        <w:tc>
          <w:tcPr>
            <w:tcW w:w="775" w:type="pct"/>
            <w:vAlign w:val="center"/>
          </w:tcPr>
          <w:p w14:paraId="57E6C1BC">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381" w:type="pct"/>
            <w:vAlign w:val="center"/>
          </w:tcPr>
          <w:p w14:paraId="76889AE0">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271" w:type="pct"/>
            <w:vAlign w:val="center"/>
          </w:tcPr>
          <w:p w14:paraId="4BCC0C28">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311" w:type="pct"/>
            <w:vAlign w:val="center"/>
          </w:tcPr>
          <w:p w14:paraId="1364B0BB">
            <w:pPr>
              <w:pStyle w:val="2"/>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20</w:t>
            </w:r>
          </w:p>
        </w:tc>
      </w:tr>
      <w:tr w14:paraId="561F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4" w:type="pct"/>
            <w:vAlign w:val="center"/>
          </w:tcPr>
          <w:p w14:paraId="7F887D4B">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第六学期</w:t>
            </w:r>
          </w:p>
        </w:tc>
        <w:tc>
          <w:tcPr>
            <w:tcW w:w="664" w:type="pct"/>
            <w:vAlign w:val="center"/>
          </w:tcPr>
          <w:p w14:paraId="0BDC55F3">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640" w:type="pct"/>
            <w:vAlign w:val="center"/>
          </w:tcPr>
          <w:p w14:paraId="60636399">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595" w:type="pct"/>
            <w:vAlign w:val="center"/>
          </w:tcPr>
          <w:p w14:paraId="14B16104">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633" w:type="pct"/>
            <w:vAlign w:val="center"/>
          </w:tcPr>
          <w:p w14:paraId="13AD3A57">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8</w:t>
            </w:r>
          </w:p>
        </w:tc>
        <w:tc>
          <w:tcPr>
            <w:tcW w:w="775" w:type="pct"/>
            <w:vAlign w:val="center"/>
          </w:tcPr>
          <w:p w14:paraId="6387139C">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10</w:t>
            </w:r>
          </w:p>
        </w:tc>
        <w:tc>
          <w:tcPr>
            <w:tcW w:w="381" w:type="pct"/>
            <w:vAlign w:val="center"/>
          </w:tcPr>
          <w:p w14:paraId="21563507">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271" w:type="pct"/>
            <w:vAlign w:val="center"/>
          </w:tcPr>
          <w:p w14:paraId="327C45F0">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311" w:type="pct"/>
            <w:vAlign w:val="center"/>
          </w:tcPr>
          <w:p w14:paraId="706144FE">
            <w:pPr>
              <w:pStyle w:val="2"/>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20</w:t>
            </w:r>
          </w:p>
        </w:tc>
      </w:tr>
      <w:tr w14:paraId="6FD2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4" w:type="pct"/>
            <w:vAlign w:val="bottom"/>
          </w:tcPr>
          <w:p w14:paraId="3E34E0E7">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总计</w:t>
            </w:r>
          </w:p>
        </w:tc>
        <w:tc>
          <w:tcPr>
            <w:tcW w:w="664" w:type="pct"/>
            <w:vAlign w:val="center"/>
          </w:tcPr>
          <w:p w14:paraId="05EC4426">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70</w:t>
            </w:r>
          </w:p>
        </w:tc>
        <w:tc>
          <w:tcPr>
            <w:tcW w:w="640" w:type="pct"/>
            <w:vAlign w:val="center"/>
          </w:tcPr>
          <w:p w14:paraId="7744AC88">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595" w:type="pct"/>
            <w:vAlign w:val="center"/>
          </w:tcPr>
          <w:p w14:paraId="57463414">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3</w:t>
            </w:r>
          </w:p>
        </w:tc>
        <w:tc>
          <w:tcPr>
            <w:tcW w:w="633" w:type="pct"/>
            <w:vAlign w:val="center"/>
          </w:tcPr>
          <w:p w14:paraId="60E1D706">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26</w:t>
            </w:r>
          </w:p>
        </w:tc>
        <w:tc>
          <w:tcPr>
            <w:tcW w:w="775" w:type="pct"/>
            <w:vAlign w:val="center"/>
          </w:tcPr>
          <w:p w14:paraId="601A60D2">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10</w:t>
            </w:r>
          </w:p>
        </w:tc>
        <w:tc>
          <w:tcPr>
            <w:tcW w:w="381" w:type="pct"/>
            <w:vAlign w:val="center"/>
          </w:tcPr>
          <w:p w14:paraId="0E9220F5">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6</w:t>
            </w:r>
          </w:p>
        </w:tc>
        <w:tc>
          <w:tcPr>
            <w:tcW w:w="271" w:type="pct"/>
            <w:vAlign w:val="center"/>
          </w:tcPr>
          <w:p w14:paraId="4BDBFF25">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5</w:t>
            </w:r>
          </w:p>
        </w:tc>
        <w:tc>
          <w:tcPr>
            <w:tcW w:w="311" w:type="pct"/>
            <w:vAlign w:val="center"/>
          </w:tcPr>
          <w:p w14:paraId="00422713">
            <w:pPr>
              <w:pStyle w:val="2"/>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120</w:t>
            </w:r>
          </w:p>
        </w:tc>
      </w:tr>
    </w:tbl>
    <w:p w14:paraId="224001CA">
      <w:pPr>
        <w:pStyle w:val="4"/>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8" w:name="_Toc10922"/>
      <w:bookmarkStart w:id="29" w:name="_Toc9607"/>
      <w:r>
        <w:rPr>
          <w:rFonts w:hint="eastAsia"/>
          <w:sz w:val="21"/>
          <w:szCs w:val="21"/>
        </w:rPr>
        <w:t>（二）教学历程表</w:t>
      </w:r>
      <w:bookmarkEnd w:id="28"/>
      <w:bookmarkEnd w:id="29"/>
    </w:p>
    <w:tbl>
      <w:tblPr>
        <w:tblStyle w:val="14"/>
        <w:tblW w:w="53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1"/>
        <w:gridCol w:w="514"/>
        <w:gridCol w:w="429"/>
        <w:gridCol w:w="404"/>
        <w:gridCol w:w="429"/>
        <w:gridCol w:w="393"/>
        <w:gridCol w:w="418"/>
        <w:gridCol w:w="418"/>
        <w:gridCol w:w="404"/>
        <w:gridCol w:w="404"/>
        <w:gridCol w:w="404"/>
        <w:gridCol w:w="404"/>
        <w:gridCol w:w="418"/>
        <w:gridCol w:w="410"/>
        <w:gridCol w:w="418"/>
        <w:gridCol w:w="420"/>
        <w:gridCol w:w="420"/>
        <w:gridCol w:w="404"/>
        <w:gridCol w:w="420"/>
        <w:gridCol w:w="404"/>
        <w:gridCol w:w="412"/>
        <w:gridCol w:w="789"/>
      </w:tblGrid>
      <w:tr w14:paraId="61F1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atLeast"/>
          <w:jc w:val="center"/>
        </w:trPr>
        <w:tc>
          <w:tcPr>
            <w:tcW w:w="275" w:type="pct"/>
            <w:vMerge w:val="restart"/>
            <w:vAlign w:val="center"/>
          </w:tcPr>
          <w:p w14:paraId="53E9EA60">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学</w:t>
            </w:r>
          </w:p>
          <w:p w14:paraId="730C1FC6">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年</w:t>
            </w:r>
          </w:p>
        </w:tc>
        <w:tc>
          <w:tcPr>
            <w:tcW w:w="266" w:type="pct"/>
            <w:vMerge w:val="restart"/>
            <w:vAlign w:val="center"/>
          </w:tcPr>
          <w:p w14:paraId="13C5F495">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学</w:t>
            </w:r>
          </w:p>
          <w:p w14:paraId="75AC5364">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期</w:t>
            </w:r>
          </w:p>
        </w:tc>
        <w:tc>
          <w:tcPr>
            <w:tcW w:w="4458" w:type="pct"/>
            <w:gridSpan w:val="20"/>
            <w:vAlign w:val="center"/>
          </w:tcPr>
          <w:p w14:paraId="673E3FD4">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周次</w:t>
            </w:r>
          </w:p>
        </w:tc>
      </w:tr>
      <w:tr w14:paraId="4FA4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jc w:val="center"/>
        </w:trPr>
        <w:tc>
          <w:tcPr>
            <w:tcW w:w="275" w:type="pct"/>
            <w:vMerge w:val="continue"/>
            <w:vAlign w:val="center"/>
          </w:tcPr>
          <w:p w14:paraId="22D87A36">
            <w:pPr>
              <w:pStyle w:val="2"/>
              <w:pageBreakBefore w:val="0"/>
              <w:kinsoku/>
              <w:wordWrap/>
              <w:overflowPunct/>
              <w:topLinePunct w:val="0"/>
              <w:bidi w:val="0"/>
              <w:spacing w:after="0" w:line="360" w:lineRule="exact"/>
              <w:jc w:val="center"/>
              <w:rPr>
                <w:rFonts w:ascii="宋体" w:hAnsi="宋体" w:cs="宋体"/>
                <w:b/>
                <w:bCs/>
                <w:szCs w:val="21"/>
              </w:rPr>
            </w:pPr>
          </w:p>
        </w:tc>
        <w:tc>
          <w:tcPr>
            <w:tcW w:w="266" w:type="pct"/>
            <w:vMerge w:val="continue"/>
            <w:vAlign w:val="center"/>
          </w:tcPr>
          <w:p w14:paraId="77CE0EB5">
            <w:pPr>
              <w:pStyle w:val="2"/>
              <w:pageBreakBefore w:val="0"/>
              <w:kinsoku/>
              <w:wordWrap/>
              <w:overflowPunct/>
              <w:topLinePunct w:val="0"/>
              <w:bidi w:val="0"/>
              <w:spacing w:after="0" w:line="360" w:lineRule="exact"/>
              <w:jc w:val="center"/>
              <w:rPr>
                <w:rFonts w:ascii="宋体" w:hAnsi="宋体" w:cs="宋体"/>
                <w:b/>
                <w:bCs/>
                <w:szCs w:val="21"/>
              </w:rPr>
            </w:pPr>
          </w:p>
        </w:tc>
        <w:tc>
          <w:tcPr>
            <w:tcW w:w="222" w:type="pct"/>
            <w:vAlign w:val="center"/>
          </w:tcPr>
          <w:p w14:paraId="2F05BC9A">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w:t>
            </w:r>
          </w:p>
        </w:tc>
        <w:tc>
          <w:tcPr>
            <w:tcW w:w="209" w:type="pct"/>
            <w:vAlign w:val="center"/>
          </w:tcPr>
          <w:p w14:paraId="3A8E1FF6">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2</w:t>
            </w:r>
          </w:p>
        </w:tc>
        <w:tc>
          <w:tcPr>
            <w:tcW w:w="222" w:type="pct"/>
            <w:vAlign w:val="center"/>
          </w:tcPr>
          <w:p w14:paraId="2051FE34">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3</w:t>
            </w:r>
          </w:p>
        </w:tc>
        <w:tc>
          <w:tcPr>
            <w:tcW w:w="203" w:type="pct"/>
            <w:vAlign w:val="center"/>
          </w:tcPr>
          <w:p w14:paraId="12B274E6">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4</w:t>
            </w:r>
          </w:p>
        </w:tc>
        <w:tc>
          <w:tcPr>
            <w:tcW w:w="216" w:type="pct"/>
            <w:vAlign w:val="center"/>
          </w:tcPr>
          <w:p w14:paraId="17DD5290">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5</w:t>
            </w:r>
          </w:p>
        </w:tc>
        <w:tc>
          <w:tcPr>
            <w:tcW w:w="216" w:type="pct"/>
            <w:vAlign w:val="center"/>
          </w:tcPr>
          <w:p w14:paraId="2C6843D5">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6</w:t>
            </w:r>
          </w:p>
        </w:tc>
        <w:tc>
          <w:tcPr>
            <w:tcW w:w="209" w:type="pct"/>
            <w:vAlign w:val="center"/>
          </w:tcPr>
          <w:p w14:paraId="734A7D92">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7</w:t>
            </w:r>
          </w:p>
        </w:tc>
        <w:tc>
          <w:tcPr>
            <w:tcW w:w="209" w:type="pct"/>
            <w:vAlign w:val="center"/>
          </w:tcPr>
          <w:p w14:paraId="1E056223">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8</w:t>
            </w:r>
          </w:p>
        </w:tc>
        <w:tc>
          <w:tcPr>
            <w:tcW w:w="209" w:type="pct"/>
            <w:vAlign w:val="center"/>
          </w:tcPr>
          <w:p w14:paraId="0DD3D6A9">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9</w:t>
            </w:r>
          </w:p>
        </w:tc>
        <w:tc>
          <w:tcPr>
            <w:tcW w:w="209" w:type="pct"/>
            <w:vAlign w:val="center"/>
          </w:tcPr>
          <w:p w14:paraId="550656E1">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10</w:t>
            </w:r>
          </w:p>
        </w:tc>
        <w:tc>
          <w:tcPr>
            <w:tcW w:w="216" w:type="pct"/>
            <w:vAlign w:val="center"/>
          </w:tcPr>
          <w:p w14:paraId="348B19B9">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11</w:t>
            </w:r>
          </w:p>
        </w:tc>
        <w:tc>
          <w:tcPr>
            <w:tcW w:w="212" w:type="pct"/>
            <w:vAlign w:val="center"/>
          </w:tcPr>
          <w:p w14:paraId="5A8C07ED">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12</w:t>
            </w:r>
          </w:p>
        </w:tc>
        <w:tc>
          <w:tcPr>
            <w:tcW w:w="216" w:type="pct"/>
            <w:vAlign w:val="center"/>
          </w:tcPr>
          <w:p w14:paraId="5D5E7EA6">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13</w:t>
            </w:r>
          </w:p>
        </w:tc>
        <w:tc>
          <w:tcPr>
            <w:tcW w:w="217" w:type="pct"/>
            <w:vAlign w:val="center"/>
          </w:tcPr>
          <w:p w14:paraId="2809A887">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14</w:t>
            </w:r>
          </w:p>
        </w:tc>
        <w:tc>
          <w:tcPr>
            <w:tcW w:w="217" w:type="pct"/>
            <w:vAlign w:val="center"/>
          </w:tcPr>
          <w:p w14:paraId="1684BC3C">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15</w:t>
            </w:r>
          </w:p>
        </w:tc>
        <w:tc>
          <w:tcPr>
            <w:tcW w:w="209" w:type="pct"/>
            <w:vAlign w:val="center"/>
          </w:tcPr>
          <w:p w14:paraId="471E2A3E">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16</w:t>
            </w:r>
          </w:p>
        </w:tc>
        <w:tc>
          <w:tcPr>
            <w:tcW w:w="217" w:type="pct"/>
            <w:vAlign w:val="center"/>
          </w:tcPr>
          <w:p w14:paraId="273C68BC">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17</w:t>
            </w:r>
          </w:p>
        </w:tc>
        <w:tc>
          <w:tcPr>
            <w:tcW w:w="209" w:type="pct"/>
            <w:vAlign w:val="center"/>
          </w:tcPr>
          <w:p w14:paraId="5857A1E6">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18</w:t>
            </w:r>
          </w:p>
        </w:tc>
        <w:tc>
          <w:tcPr>
            <w:tcW w:w="213" w:type="pct"/>
            <w:vAlign w:val="center"/>
          </w:tcPr>
          <w:p w14:paraId="5D0317DA">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19</w:t>
            </w:r>
          </w:p>
        </w:tc>
        <w:tc>
          <w:tcPr>
            <w:tcW w:w="397" w:type="pct"/>
            <w:vAlign w:val="center"/>
          </w:tcPr>
          <w:p w14:paraId="3377B423">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20</w:t>
            </w:r>
          </w:p>
        </w:tc>
      </w:tr>
      <w:tr w14:paraId="3210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4" w:hRule="atLeast"/>
          <w:jc w:val="center"/>
        </w:trPr>
        <w:tc>
          <w:tcPr>
            <w:tcW w:w="275" w:type="pct"/>
            <w:vMerge w:val="restart"/>
            <w:vAlign w:val="center"/>
          </w:tcPr>
          <w:p w14:paraId="4DA3FC58">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一</w:t>
            </w:r>
          </w:p>
        </w:tc>
        <w:tc>
          <w:tcPr>
            <w:tcW w:w="266" w:type="pct"/>
            <w:vAlign w:val="center"/>
          </w:tcPr>
          <w:p w14:paraId="3EDB118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22" w:type="pct"/>
            <w:shd w:val="clear" w:color="auto" w:fill="auto"/>
            <w:vAlign w:val="center"/>
          </w:tcPr>
          <w:p w14:paraId="26E16880">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1791D5C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2" w:type="pct"/>
            <w:shd w:val="clear" w:color="auto" w:fill="auto"/>
            <w:vAlign w:val="center"/>
          </w:tcPr>
          <w:p w14:paraId="4100987B">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shd w:val="clear" w:color="auto" w:fill="auto"/>
            <w:vAlign w:val="center"/>
          </w:tcPr>
          <w:p w14:paraId="45461355">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264F3BB1">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430A3F9C">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2A9E3FD3">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0D139BC4">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6BB300D0">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2C31843B">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6915C4D0">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2" w:type="pct"/>
            <w:shd w:val="clear" w:color="auto" w:fill="auto"/>
            <w:vAlign w:val="center"/>
          </w:tcPr>
          <w:p w14:paraId="5C2ACB5C">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0BF9D84C">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16ECC3C0">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7E86FB0A">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3ABC10B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151203BF">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3D83FBBD">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3" w:type="pct"/>
            <w:shd w:val="clear" w:color="auto" w:fill="auto"/>
            <w:vAlign w:val="center"/>
          </w:tcPr>
          <w:p w14:paraId="216646E5">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pct"/>
            <w:vAlign w:val="center"/>
          </w:tcPr>
          <w:p w14:paraId="03E56A97">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57BA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1" w:hRule="atLeast"/>
          <w:jc w:val="center"/>
        </w:trPr>
        <w:tc>
          <w:tcPr>
            <w:tcW w:w="275" w:type="pct"/>
            <w:vMerge w:val="continue"/>
            <w:vAlign w:val="center"/>
          </w:tcPr>
          <w:p w14:paraId="1C39B6FB">
            <w:pPr>
              <w:pStyle w:val="2"/>
              <w:pageBreakBefore w:val="0"/>
              <w:kinsoku/>
              <w:wordWrap/>
              <w:overflowPunct/>
              <w:topLinePunct w:val="0"/>
              <w:bidi w:val="0"/>
              <w:spacing w:after="0" w:line="360" w:lineRule="exact"/>
              <w:jc w:val="center"/>
              <w:rPr>
                <w:rFonts w:ascii="宋体" w:hAnsi="宋体" w:cs="宋体"/>
                <w:sz w:val="18"/>
                <w:szCs w:val="18"/>
              </w:rPr>
            </w:pPr>
          </w:p>
        </w:tc>
        <w:tc>
          <w:tcPr>
            <w:tcW w:w="266" w:type="pct"/>
            <w:vAlign w:val="center"/>
          </w:tcPr>
          <w:p w14:paraId="0C30E20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w:t>
            </w:r>
          </w:p>
        </w:tc>
        <w:tc>
          <w:tcPr>
            <w:tcW w:w="222" w:type="pct"/>
            <w:shd w:val="clear" w:color="auto" w:fill="auto"/>
            <w:vAlign w:val="center"/>
          </w:tcPr>
          <w:p w14:paraId="20F3DA1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3CDFA3EB">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2" w:type="pct"/>
            <w:shd w:val="clear" w:color="auto" w:fill="auto"/>
            <w:vAlign w:val="center"/>
          </w:tcPr>
          <w:p w14:paraId="7A783E3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shd w:val="clear" w:color="auto" w:fill="auto"/>
            <w:vAlign w:val="center"/>
          </w:tcPr>
          <w:p w14:paraId="5E0D0628">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3DAF92D4">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17E024C2">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4E55763F">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3CEBDF14">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6B579974">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78B4DFE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4019172D">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2" w:type="pct"/>
            <w:shd w:val="clear" w:color="auto" w:fill="auto"/>
            <w:vAlign w:val="center"/>
          </w:tcPr>
          <w:p w14:paraId="47ACC90A">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46E9F6FB">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6D77009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195ADAC2">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01604AA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7562FB92">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4D45542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3" w:type="pct"/>
            <w:shd w:val="clear" w:color="auto" w:fill="auto"/>
            <w:vAlign w:val="center"/>
          </w:tcPr>
          <w:p w14:paraId="30516950">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pct"/>
            <w:vAlign w:val="center"/>
          </w:tcPr>
          <w:p w14:paraId="7C07B68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1543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atLeast"/>
          <w:jc w:val="center"/>
        </w:trPr>
        <w:tc>
          <w:tcPr>
            <w:tcW w:w="275" w:type="pct"/>
            <w:vMerge w:val="restart"/>
            <w:vAlign w:val="center"/>
          </w:tcPr>
          <w:p w14:paraId="5CD09F08">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二</w:t>
            </w:r>
          </w:p>
        </w:tc>
        <w:tc>
          <w:tcPr>
            <w:tcW w:w="266" w:type="pct"/>
            <w:vAlign w:val="center"/>
          </w:tcPr>
          <w:p w14:paraId="65B4E99F">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222" w:type="pct"/>
            <w:shd w:val="clear" w:color="auto" w:fill="auto"/>
            <w:vAlign w:val="center"/>
          </w:tcPr>
          <w:p w14:paraId="4FA9489D">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6F4F42E5">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2" w:type="pct"/>
            <w:shd w:val="clear" w:color="auto" w:fill="auto"/>
            <w:vAlign w:val="center"/>
          </w:tcPr>
          <w:p w14:paraId="2EACA854">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shd w:val="clear" w:color="auto" w:fill="auto"/>
            <w:vAlign w:val="center"/>
          </w:tcPr>
          <w:p w14:paraId="4CCDB82C">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00A34D1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0FFC681A">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2903DE4B">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6ABAB0DC">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02C03C98">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504DF69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28D110D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2" w:type="pct"/>
            <w:shd w:val="clear" w:color="auto" w:fill="auto"/>
            <w:vAlign w:val="center"/>
          </w:tcPr>
          <w:p w14:paraId="5F54FFE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19868545">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4E1BD6C7">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47D661C1">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5577FD6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55A60482">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610AA8C8">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3" w:type="pct"/>
            <w:shd w:val="clear" w:color="auto" w:fill="auto"/>
            <w:vAlign w:val="center"/>
          </w:tcPr>
          <w:p w14:paraId="0B289FA0">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pct"/>
            <w:vAlign w:val="center"/>
          </w:tcPr>
          <w:p w14:paraId="343FF548">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0925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jc w:val="center"/>
        </w:trPr>
        <w:tc>
          <w:tcPr>
            <w:tcW w:w="275" w:type="pct"/>
            <w:vMerge w:val="continue"/>
            <w:vAlign w:val="center"/>
          </w:tcPr>
          <w:p w14:paraId="4035E826">
            <w:pPr>
              <w:pStyle w:val="2"/>
              <w:pageBreakBefore w:val="0"/>
              <w:kinsoku/>
              <w:wordWrap/>
              <w:overflowPunct/>
              <w:topLinePunct w:val="0"/>
              <w:bidi w:val="0"/>
              <w:spacing w:after="0" w:line="360" w:lineRule="exact"/>
              <w:jc w:val="center"/>
              <w:rPr>
                <w:rFonts w:ascii="宋体" w:hAnsi="宋体" w:cs="宋体"/>
                <w:sz w:val="18"/>
                <w:szCs w:val="18"/>
              </w:rPr>
            </w:pPr>
          </w:p>
        </w:tc>
        <w:tc>
          <w:tcPr>
            <w:tcW w:w="266" w:type="pct"/>
            <w:vAlign w:val="center"/>
          </w:tcPr>
          <w:p w14:paraId="663C90EF">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4</w:t>
            </w:r>
          </w:p>
        </w:tc>
        <w:tc>
          <w:tcPr>
            <w:tcW w:w="222" w:type="pct"/>
            <w:shd w:val="clear" w:color="auto" w:fill="auto"/>
            <w:vAlign w:val="center"/>
          </w:tcPr>
          <w:p w14:paraId="71A1C84C">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3560F41D">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2" w:type="pct"/>
            <w:shd w:val="clear" w:color="auto" w:fill="auto"/>
            <w:vAlign w:val="center"/>
          </w:tcPr>
          <w:p w14:paraId="2D5DF926">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shd w:val="clear" w:color="auto" w:fill="auto"/>
            <w:vAlign w:val="center"/>
          </w:tcPr>
          <w:p w14:paraId="7ED3C37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3509B57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7A90679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3DAB8E83">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030A0BD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041EC06A">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0D724BD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0E146CA5">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2" w:type="pct"/>
            <w:shd w:val="clear" w:color="auto" w:fill="auto"/>
            <w:vAlign w:val="center"/>
          </w:tcPr>
          <w:p w14:paraId="46787337">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1882B836">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1D441EF6">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21653E8B">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2C601F2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6C4D0D2D">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35BE99E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3" w:type="pct"/>
            <w:shd w:val="clear" w:color="auto" w:fill="auto"/>
            <w:vAlign w:val="center"/>
          </w:tcPr>
          <w:p w14:paraId="1F88C8B1">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pct"/>
            <w:vAlign w:val="center"/>
          </w:tcPr>
          <w:p w14:paraId="5DCB7325">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0FD5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1" w:hRule="atLeast"/>
          <w:jc w:val="center"/>
        </w:trPr>
        <w:tc>
          <w:tcPr>
            <w:tcW w:w="275" w:type="pct"/>
            <w:vMerge w:val="restart"/>
            <w:vAlign w:val="center"/>
          </w:tcPr>
          <w:p w14:paraId="0CBDE541">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三</w:t>
            </w:r>
          </w:p>
        </w:tc>
        <w:tc>
          <w:tcPr>
            <w:tcW w:w="266" w:type="pct"/>
            <w:vAlign w:val="center"/>
          </w:tcPr>
          <w:p w14:paraId="55A08FAF">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222" w:type="pct"/>
            <w:shd w:val="clear" w:color="auto" w:fill="auto"/>
            <w:vAlign w:val="center"/>
          </w:tcPr>
          <w:p w14:paraId="7BADA2E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67B81AE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22" w:type="pct"/>
            <w:shd w:val="clear" w:color="auto" w:fill="auto"/>
            <w:vAlign w:val="center"/>
          </w:tcPr>
          <w:p w14:paraId="3B322F1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03" w:type="pct"/>
            <w:shd w:val="clear" w:color="auto" w:fill="auto"/>
            <w:vAlign w:val="center"/>
          </w:tcPr>
          <w:p w14:paraId="6105FF6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6FC4EAA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5EBAD82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013C261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092356E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46A8884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6D7FF41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6ACDF6A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2" w:type="pct"/>
            <w:shd w:val="clear" w:color="auto" w:fill="auto"/>
            <w:vAlign w:val="center"/>
          </w:tcPr>
          <w:p w14:paraId="2D91D4D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03B613E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03FDDE4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5F7F1A4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6A8279B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260420A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52BBA7A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3" w:type="pct"/>
            <w:shd w:val="clear" w:color="auto" w:fill="auto"/>
            <w:vAlign w:val="center"/>
          </w:tcPr>
          <w:p w14:paraId="0431AE58">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pct"/>
            <w:vAlign w:val="center"/>
          </w:tcPr>
          <w:p w14:paraId="1ABC393B">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531A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jc w:val="center"/>
        </w:trPr>
        <w:tc>
          <w:tcPr>
            <w:tcW w:w="275" w:type="pct"/>
            <w:vMerge w:val="continue"/>
            <w:vAlign w:val="center"/>
          </w:tcPr>
          <w:p w14:paraId="1D6BB8AC">
            <w:pPr>
              <w:pStyle w:val="2"/>
              <w:pageBreakBefore w:val="0"/>
              <w:kinsoku/>
              <w:wordWrap/>
              <w:overflowPunct/>
              <w:topLinePunct w:val="0"/>
              <w:bidi w:val="0"/>
              <w:spacing w:after="0" w:line="360" w:lineRule="exact"/>
              <w:jc w:val="center"/>
              <w:rPr>
                <w:rFonts w:ascii="宋体" w:hAnsi="宋体" w:cs="宋体"/>
                <w:sz w:val="18"/>
                <w:szCs w:val="18"/>
              </w:rPr>
            </w:pPr>
          </w:p>
        </w:tc>
        <w:tc>
          <w:tcPr>
            <w:tcW w:w="266" w:type="pct"/>
            <w:vAlign w:val="center"/>
          </w:tcPr>
          <w:p w14:paraId="1BA10DF4">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222" w:type="pct"/>
            <w:shd w:val="clear" w:color="auto" w:fill="auto"/>
            <w:vAlign w:val="center"/>
          </w:tcPr>
          <w:p w14:paraId="07CE4D92">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5830F8C8">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2" w:type="pct"/>
            <w:shd w:val="clear" w:color="auto" w:fill="auto"/>
            <w:vAlign w:val="center"/>
          </w:tcPr>
          <w:p w14:paraId="00290851">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shd w:val="clear" w:color="auto" w:fill="auto"/>
            <w:vAlign w:val="center"/>
          </w:tcPr>
          <w:p w14:paraId="6BEF4651">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06862C46">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6A82AAFF">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3EEAF2D3">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18067717">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7D6DA48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09" w:type="pct"/>
            <w:shd w:val="clear" w:color="auto" w:fill="auto"/>
            <w:vAlign w:val="center"/>
          </w:tcPr>
          <w:p w14:paraId="652E327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16" w:type="pct"/>
            <w:shd w:val="clear" w:color="auto" w:fill="auto"/>
            <w:vAlign w:val="center"/>
          </w:tcPr>
          <w:p w14:paraId="6694DB7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12" w:type="pct"/>
            <w:shd w:val="clear" w:color="auto" w:fill="auto"/>
            <w:vAlign w:val="center"/>
          </w:tcPr>
          <w:p w14:paraId="3BB6ACA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16" w:type="pct"/>
            <w:shd w:val="clear" w:color="auto" w:fill="auto"/>
            <w:vAlign w:val="center"/>
          </w:tcPr>
          <w:p w14:paraId="773A5C8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17" w:type="pct"/>
            <w:shd w:val="clear" w:color="auto" w:fill="auto"/>
            <w:vAlign w:val="center"/>
          </w:tcPr>
          <w:p w14:paraId="47884FF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17" w:type="pct"/>
            <w:shd w:val="clear" w:color="auto" w:fill="auto"/>
            <w:vAlign w:val="center"/>
          </w:tcPr>
          <w:p w14:paraId="3776B90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09" w:type="pct"/>
            <w:shd w:val="clear" w:color="auto" w:fill="auto"/>
            <w:vAlign w:val="center"/>
          </w:tcPr>
          <w:p w14:paraId="60C9278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17" w:type="pct"/>
            <w:shd w:val="clear" w:color="auto" w:fill="auto"/>
            <w:vAlign w:val="center"/>
          </w:tcPr>
          <w:p w14:paraId="6713895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09" w:type="pct"/>
            <w:shd w:val="clear" w:color="auto" w:fill="auto"/>
            <w:vAlign w:val="center"/>
          </w:tcPr>
          <w:p w14:paraId="68316D2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Cs w:val="21"/>
              </w:rPr>
              <w:t>◎</w:t>
            </w:r>
          </w:p>
        </w:tc>
        <w:tc>
          <w:tcPr>
            <w:tcW w:w="213" w:type="pct"/>
            <w:shd w:val="clear" w:color="auto" w:fill="auto"/>
            <w:vAlign w:val="center"/>
          </w:tcPr>
          <w:p w14:paraId="2FA822F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397" w:type="pct"/>
            <w:vAlign w:val="center"/>
          </w:tcPr>
          <w:p w14:paraId="4A9635E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bl>
    <w:p w14:paraId="16589DE7">
      <w:pPr>
        <w:pageBreakBefore w:val="0"/>
        <w:kinsoku/>
        <w:wordWrap/>
        <w:overflowPunct/>
        <w:topLinePunct w:val="0"/>
        <w:bidi w:val="0"/>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 /毕业设计；</w:t>
      </w:r>
    </w:p>
    <w:p w14:paraId="74A8BC33">
      <w:pPr>
        <w:pageBreakBefore w:val="0"/>
        <w:kinsoku/>
        <w:wordWrap/>
        <w:overflowPunct/>
        <w:topLinePunct w:val="0"/>
        <w:bidi w:val="0"/>
        <w:spacing w:line="360" w:lineRule="exact"/>
        <w:ind w:firstLine="630" w:firstLineChars="300"/>
        <w:rPr>
          <w:rFonts w:ascii="宋体" w:hAnsi="宋体" w:cs="宋体"/>
          <w:szCs w:val="21"/>
        </w:rPr>
      </w:pPr>
      <w:r>
        <w:rPr>
          <w:rFonts w:hint="eastAsia" w:ascii="宋体" w:hAnsi="宋体" w:cs="宋体"/>
          <w:szCs w:val="21"/>
        </w:rPr>
        <w:t>☆军事技能训练及入学教育；◎毕业教育，融入毕业设计环节。</w:t>
      </w:r>
    </w:p>
    <w:p w14:paraId="3611AFD3">
      <w:r>
        <w:br w:type="page"/>
      </w:r>
    </w:p>
    <w:p w14:paraId="3777FC12">
      <w:pPr>
        <w:pStyle w:val="4"/>
        <w:pageBreakBefore w:val="0"/>
        <w:kinsoku/>
        <w:wordWrap/>
        <w:overflowPunct/>
        <w:topLinePunct w:val="0"/>
        <w:bidi w:val="0"/>
        <w:adjustRightInd w:val="0"/>
        <w:snapToGrid w:val="0"/>
        <w:spacing w:before="0" w:beforeLines="0" w:after="0" w:afterLines="0" w:line="360" w:lineRule="exact"/>
        <w:ind w:firstLine="422" w:firstLineChars="200"/>
        <w:rPr>
          <w:rFonts w:ascii="宋体" w:hAnsi="宋体"/>
          <w:bCs/>
          <w:sz w:val="21"/>
          <w:szCs w:val="21"/>
        </w:rPr>
      </w:pPr>
      <w:r>
        <w:rPr>
          <w:rFonts w:hint="eastAsia"/>
          <w:sz w:val="21"/>
          <w:szCs w:val="21"/>
        </w:rPr>
        <w:t>（三）专业教学进程表</w:t>
      </w:r>
    </w:p>
    <w:p w14:paraId="277C7429">
      <w:pPr>
        <w:pageBreakBefore w:val="0"/>
        <w:kinsoku/>
        <w:wordWrap/>
        <w:overflowPunct/>
        <w:topLinePunct w:val="0"/>
        <w:bidi w:val="0"/>
        <w:spacing w:line="360" w:lineRule="exact"/>
        <w:ind w:firstLine="422" w:firstLineChars="200"/>
        <w:jc w:val="center"/>
        <w:rPr>
          <w:b/>
          <w:bCs/>
          <w:szCs w:val="21"/>
        </w:rPr>
      </w:pPr>
      <w:r>
        <w:rPr>
          <w:rFonts w:hint="eastAsia" w:ascii="宋体" w:hAnsi="宋体"/>
          <w:b/>
          <w:bCs/>
          <w:szCs w:val="21"/>
        </w:rPr>
        <w:t>专业教学进度安排表</w:t>
      </w:r>
    </w:p>
    <w:tbl>
      <w:tblPr>
        <w:tblStyle w:val="14"/>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01"/>
        <w:gridCol w:w="2322"/>
        <w:gridCol w:w="437"/>
        <w:gridCol w:w="490"/>
        <w:gridCol w:w="573"/>
        <w:gridCol w:w="509"/>
        <w:gridCol w:w="427"/>
        <w:gridCol w:w="437"/>
        <w:gridCol w:w="440"/>
        <w:gridCol w:w="450"/>
        <w:gridCol w:w="452"/>
        <w:gridCol w:w="462"/>
        <w:gridCol w:w="450"/>
        <w:gridCol w:w="474"/>
        <w:gridCol w:w="600"/>
      </w:tblGrid>
      <w:tr w14:paraId="5AF1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43093663">
            <w:pPr>
              <w:pageBreakBefore w:val="0"/>
              <w:widowControl/>
              <w:kinsoku/>
              <w:wordWrap/>
              <w:overflowPunct/>
              <w:topLinePunct w:val="0"/>
              <w:bidi w:val="0"/>
              <w:spacing w:line="360" w:lineRule="exact"/>
              <w:rPr>
                <w:rFonts w:ascii="宋体" w:hAnsi="宋体" w:cs="宋体"/>
                <w:color w:val="000000"/>
                <w:kern w:val="0"/>
                <w:szCs w:val="21"/>
              </w:rPr>
            </w:pPr>
            <w:r>
              <w:rPr>
                <w:rFonts w:hint="eastAsia" w:ascii="宋体" w:hAnsi="宋体" w:cs="宋体"/>
                <w:color w:val="000000"/>
                <w:kern w:val="0"/>
                <w:szCs w:val="21"/>
              </w:rPr>
              <w:t>课程类别</w:t>
            </w:r>
          </w:p>
          <w:p w14:paraId="08A71E5C">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kern w:val="0"/>
                <w:szCs w:val="21"/>
              </w:rPr>
              <w:t>课程性质</w:t>
            </w:r>
          </w:p>
        </w:tc>
        <w:tc>
          <w:tcPr>
            <w:tcW w:w="396" w:type="dxa"/>
            <w:vMerge w:val="restart"/>
            <w:vAlign w:val="center"/>
          </w:tcPr>
          <w:p w14:paraId="58BDDE5F">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序号</w:t>
            </w:r>
          </w:p>
        </w:tc>
        <w:tc>
          <w:tcPr>
            <w:tcW w:w="901" w:type="dxa"/>
            <w:vMerge w:val="restart"/>
            <w:vAlign w:val="center"/>
          </w:tcPr>
          <w:p w14:paraId="519EF68A">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课程代码</w:t>
            </w:r>
          </w:p>
        </w:tc>
        <w:tc>
          <w:tcPr>
            <w:tcW w:w="2322" w:type="dxa"/>
            <w:vMerge w:val="restart"/>
            <w:vAlign w:val="center"/>
          </w:tcPr>
          <w:p w14:paraId="54376DDB">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课程名称</w:t>
            </w:r>
          </w:p>
        </w:tc>
        <w:tc>
          <w:tcPr>
            <w:tcW w:w="437" w:type="dxa"/>
            <w:vMerge w:val="restart"/>
            <w:vAlign w:val="center"/>
          </w:tcPr>
          <w:p w14:paraId="50F8D9CB">
            <w:pPr>
              <w:pageBreakBefore w:val="0"/>
              <w:widowControl/>
              <w:kinsoku/>
              <w:wordWrap/>
              <w:overflowPunct/>
              <w:topLinePunct w:val="0"/>
              <w:bidi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课程类型</w:t>
            </w:r>
          </w:p>
        </w:tc>
        <w:tc>
          <w:tcPr>
            <w:tcW w:w="490" w:type="dxa"/>
            <w:vMerge w:val="restart"/>
            <w:vAlign w:val="center"/>
          </w:tcPr>
          <w:p w14:paraId="125B2B25">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p w14:paraId="7E289AF8">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总学时</w:t>
            </w:r>
          </w:p>
        </w:tc>
        <w:tc>
          <w:tcPr>
            <w:tcW w:w="573" w:type="dxa"/>
            <w:vMerge w:val="restart"/>
            <w:vAlign w:val="center"/>
          </w:tcPr>
          <w:p w14:paraId="599BB9EC">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理论学时</w:t>
            </w:r>
          </w:p>
        </w:tc>
        <w:tc>
          <w:tcPr>
            <w:tcW w:w="509" w:type="dxa"/>
            <w:vMerge w:val="restart"/>
            <w:vAlign w:val="center"/>
          </w:tcPr>
          <w:p w14:paraId="2A43560C">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实践学时</w:t>
            </w:r>
          </w:p>
        </w:tc>
        <w:tc>
          <w:tcPr>
            <w:tcW w:w="427" w:type="dxa"/>
            <w:vMerge w:val="restart"/>
            <w:vAlign w:val="center"/>
          </w:tcPr>
          <w:p w14:paraId="7049743D">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总学分</w:t>
            </w:r>
          </w:p>
          <w:p w14:paraId="5A29E382">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2691" w:type="dxa"/>
            <w:gridSpan w:val="6"/>
            <w:vAlign w:val="center"/>
          </w:tcPr>
          <w:p w14:paraId="17F5AF92">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按学年、学期及学期学时分配</w:t>
            </w:r>
          </w:p>
        </w:tc>
        <w:tc>
          <w:tcPr>
            <w:tcW w:w="474" w:type="dxa"/>
            <w:vMerge w:val="restart"/>
            <w:vAlign w:val="center"/>
          </w:tcPr>
          <w:p w14:paraId="01447D51">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考核方式</w:t>
            </w:r>
          </w:p>
        </w:tc>
        <w:tc>
          <w:tcPr>
            <w:tcW w:w="600" w:type="dxa"/>
            <w:vMerge w:val="restart"/>
            <w:vAlign w:val="center"/>
          </w:tcPr>
          <w:p w14:paraId="14A98FBA">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备注</w:t>
            </w:r>
          </w:p>
        </w:tc>
      </w:tr>
      <w:tr w14:paraId="244D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12FF438C">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396" w:type="dxa"/>
            <w:vMerge w:val="continue"/>
            <w:vAlign w:val="center"/>
          </w:tcPr>
          <w:p w14:paraId="0872D6B7">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901" w:type="dxa"/>
            <w:vMerge w:val="continue"/>
            <w:vAlign w:val="center"/>
          </w:tcPr>
          <w:p w14:paraId="3DE563C0">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2322" w:type="dxa"/>
            <w:vMerge w:val="continue"/>
            <w:vAlign w:val="center"/>
          </w:tcPr>
          <w:p w14:paraId="5C8E1897">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437" w:type="dxa"/>
            <w:vMerge w:val="continue"/>
            <w:vAlign w:val="center"/>
          </w:tcPr>
          <w:p w14:paraId="2106A6EA">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490" w:type="dxa"/>
            <w:vMerge w:val="continue"/>
            <w:vAlign w:val="center"/>
          </w:tcPr>
          <w:p w14:paraId="6E168A4B">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573" w:type="dxa"/>
            <w:vMerge w:val="continue"/>
            <w:vAlign w:val="center"/>
          </w:tcPr>
          <w:p w14:paraId="40E63640">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509" w:type="dxa"/>
            <w:vMerge w:val="continue"/>
            <w:vAlign w:val="center"/>
          </w:tcPr>
          <w:p w14:paraId="7A4B55F9">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427" w:type="dxa"/>
            <w:vMerge w:val="continue"/>
            <w:vAlign w:val="center"/>
          </w:tcPr>
          <w:p w14:paraId="1F5F482E">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877" w:type="dxa"/>
            <w:gridSpan w:val="2"/>
            <w:vAlign w:val="center"/>
          </w:tcPr>
          <w:p w14:paraId="60237025">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第一学年</w:t>
            </w:r>
          </w:p>
        </w:tc>
        <w:tc>
          <w:tcPr>
            <w:tcW w:w="902" w:type="dxa"/>
            <w:gridSpan w:val="2"/>
            <w:vAlign w:val="center"/>
          </w:tcPr>
          <w:p w14:paraId="7F1443BE">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第二学年</w:t>
            </w:r>
          </w:p>
        </w:tc>
        <w:tc>
          <w:tcPr>
            <w:tcW w:w="912" w:type="dxa"/>
            <w:gridSpan w:val="2"/>
            <w:vAlign w:val="center"/>
          </w:tcPr>
          <w:p w14:paraId="76DEB811">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第三学年</w:t>
            </w:r>
          </w:p>
        </w:tc>
        <w:tc>
          <w:tcPr>
            <w:tcW w:w="474" w:type="dxa"/>
            <w:vMerge w:val="continue"/>
            <w:vAlign w:val="center"/>
          </w:tcPr>
          <w:p w14:paraId="59159590">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600" w:type="dxa"/>
            <w:vMerge w:val="continue"/>
            <w:vAlign w:val="center"/>
          </w:tcPr>
          <w:p w14:paraId="1B1F5D6A">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r>
      <w:tr w14:paraId="7358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05105E54">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396" w:type="dxa"/>
            <w:vMerge w:val="continue"/>
            <w:vAlign w:val="center"/>
          </w:tcPr>
          <w:p w14:paraId="6951F298">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901" w:type="dxa"/>
            <w:vMerge w:val="continue"/>
            <w:vAlign w:val="center"/>
          </w:tcPr>
          <w:p w14:paraId="29EF1E13">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2322" w:type="dxa"/>
            <w:vMerge w:val="continue"/>
            <w:vAlign w:val="center"/>
          </w:tcPr>
          <w:p w14:paraId="6896C725">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437" w:type="dxa"/>
            <w:vMerge w:val="continue"/>
            <w:vAlign w:val="center"/>
          </w:tcPr>
          <w:p w14:paraId="00FD05E0">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490" w:type="dxa"/>
            <w:vMerge w:val="continue"/>
            <w:vAlign w:val="center"/>
          </w:tcPr>
          <w:p w14:paraId="3D90FF13">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573" w:type="dxa"/>
            <w:vMerge w:val="continue"/>
            <w:vAlign w:val="center"/>
          </w:tcPr>
          <w:p w14:paraId="7870FF74">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509" w:type="dxa"/>
            <w:vMerge w:val="continue"/>
            <w:vAlign w:val="center"/>
          </w:tcPr>
          <w:p w14:paraId="53A27376">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427" w:type="dxa"/>
            <w:vMerge w:val="continue"/>
            <w:vAlign w:val="center"/>
          </w:tcPr>
          <w:p w14:paraId="64F2C7EF">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437" w:type="dxa"/>
            <w:vAlign w:val="center"/>
          </w:tcPr>
          <w:p w14:paraId="0FEDE53A">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第一学期</w:t>
            </w:r>
          </w:p>
        </w:tc>
        <w:tc>
          <w:tcPr>
            <w:tcW w:w="440" w:type="dxa"/>
            <w:vAlign w:val="center"/>
          </w:tcPr>
          <w:p w14:paraId="0D7299E8">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第二学期</w:t>
            </w:r>
          </w:p>
        </w:tc>
        <w:tc>
          <w:tcPr>
            <w:tcW w:w="450" w:type="dxa"/>
            <w:vAlign w:val="center"/>
          </w:tcPr>
          <w:p w14:paraId="62F14074">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第三学期</w:t>
            </w:r>
          </w:p>
        </w:tc>
        <w:tc>
          <w:tcPr>
            <w:tcW w:w="452" w:type="dxa"/>
            <w:vAlign w:val="center"/>
          </w:tcPr>
          <w:p w14:paraId="253EAFC5">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第四学期</w:t>
            </w:r>
          </w:p>
        </w:tc>
        <w:tc>
          <w:tcPr>
            <w:tcW w:w="462" w:type="dxa"/>
            <w:vAlign w:val="center"/>
          </w:tcPr>
          <w:p w14:paraId="05E9BDC3">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第五学期</w:t>
            </w:r>
          </w:p>
        </w:tc>
        <w:tc>
          <w:tcPr>
            <w:tcW w:w="450" w:type="dxa"/>
            <w:vAlign w:val="center"/>
          </w:tcPr>
          <w:p w14:paraId="4CFCF01C">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第六学期</w:t>
            </w:r>
          </w:p>
        </w:tc>
        <w:tc>
          <w:tcPr>
            <w:tcW w:w="474" w:type="dxa"/>
            <w:vMerge w:val="continue"/>
            <w:vAlign w:val="center"/>
          </w:tcPr>
          <w:p w14:paraId="31D4A4C0">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600" w:type="dxa"/>
            <w:vMerge w:val="continue"/>
            <w:vAlign w:val="center"/>
          </w:tcPr>
          <w:p w14:paraId="2A3A6259">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r>
      <w:tr w14:paraId="4F65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vAlign w:val="center"/>
          </w:tcPr>
          <w:p w14:paraId="4EC6038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bookmarkStart w:id="30" w:name="OLE_LINK22" w:colFirst="6" w:colLast="13"/>
            <w:r>
              <w:rPr>
                <w:rFonts w:hint="eastAsia" w:ascii="宋体" w:hAnsi="宋体" w:cs="宋体"/>
                <w:color w:val="000000" w:themeColor="text1"/>
                <w:kern w:val="0"/>
                <w:sz w:val="18"/>
                <w:szCs w:val="18"/>
                <w14:textFill>
                  <w14:solidFill>
                    <w14:schemeClr w14:val="tx1"/>
                  </w14:solidFill>
                </w14:textFill>
              </w:rPr>
              <w:t>公共基础课</w:t>
            </w:r>
          </w:p>
        </w:tc>
        <w:tc>
          <w:tcPr>
            <w:tcW w:w="419" w:type="dxa"/>
            <w:vMerge w:val="restart"/>
            <w:vAlign w:val="center"/>
          </w:tcPr>
          <w:p w14:paraId="2E13B40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96" w:type="dxa"/>
            <w:vAlign w:val="center"/>
          </w:tcPr>
          <w:p w14:paraId="06B5F36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0CFFE27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2322" w:type="dxa"/>
            <w:vAlign w:val="center"/>
          </w:tcPr>
          <w:p w14:paraId="6831282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军事技能训练及入学教育</w:t>
            </w:r>
          </w:p>
        </w:tc>
        <w:tc>
          <w:tcPr>
            <w:tcW w:w="437" w:type="dxa"/>
            <w:vAlign w:val="center"/>
          </w:tcPr>
          <w:p w14:paraId="6326CEF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490" w:type="dxa"/>
            <w:vAlign w:val="center"/>
          </w:tcPr>
          <w:p w14:paraId="19CD831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573" w:type="dxa"/>
            <w:vAlign w:val="center"/>
          </w:tcPr>
          <w:p w14:paraId="5B687DE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3E80F5B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427" w:type="dxa"/>
            <w:vAlign w:val="center"/>
          </w:tcPr>
          <w:p w14:paraId="2516013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7" w:type="dxa"/>
            <w:vAlign w:val="center"/>
          </w:tcPr>
          <w:p w14:paraId="38E4061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440" w:type="dxa"/>
            <w:vAlign w:val="center"/>
          </w:tcPr>
          <w:p w14:paraId="4E7E26B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52A6C1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6567A4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27C8526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65BAE7F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3D1FF46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2E6DE83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B97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vAlign w:val="center"/>
          </w:tcPr>
          <w:p w14:paraId="2E140ED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86372D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C8FEF7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4BD27C6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2322" w:type="dxa"/>
            <w:shd w:val="clear" w:color="auto" w:fill="auto"/>
            <w:vAlign w:val="center"/>
          </w:tcPr>
          <w:p w14:paraId="76F7C9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437" w:type="dxa"/>
            <w:shd w:val="clear" w:color="auto" w:fill="auto"/>
            <w:vAlign w:val="center"/>
          </w:tcPr>
          <w:p w14:paraId="0E98B4F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D38FEC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73" w:type="dxa"/>
            <w:shd w:val="clear" w:color="auto" w:fill="auto"/>
            <w:vAlign w:val="center"/>
          </w:tcPr>
          <w:p w14:paraId="646F7DD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09" w:type="dxa"/>
            <w:shd w:val="clear" w:color="auto" w:fill="auto"/>
            <w:vAlign w:val="center"/>
          </w:tcPr>
          <w:p w14:paraId="6B91971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427" w:type="dxa"/>
            <w:shd w:val="clear" w:color="auto" w:fill="auto"/>
            <w:vAlign w:val="center"/>
          </w:tcPr>
          <w:p w14:paraId="5F288E8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0DE08A4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40" w:type="dxa"/>
            <w:vAlign w:val="center"/>
          </w:tcPr>
          <w:p w14:paraId="4B01E05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3BC71C5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60E5924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53C7192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62B04E7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35A2377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600" w:type="dxa"/>
            <w:vAlign w:val="center"/>
          </w:tcPr>
          <w:p w14:paraId="7C331D3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039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vAlign w:val="center"/>
          </w:tcPr>
          <w:p w14:paraId="0EF3A36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F284FD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1ADBFA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3EBBD12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2322" w:type="dxa"/>
            <w:shd w:val="clear" w:color="auto" w:fill="auto"/>
            <w:vAlign w:val="center"/>
          </w:tcPr>
          <w:p w14:paraId="20F43F9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437" w:type="dxa"/>
            <w:shd w:val="clear" w:color="auto" w:fill="auto"/>
            <w:vAlign w:val="center"/>
          </w:tcPr>
          <w:p w14:paraId="38B4D6E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CD0966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3" w:type="dxa"/>
            <w:shd w:val="clear" w:color="auto" w:fill="auto"/>
            <w:vAlign w:val="center"/>
          </w:tcPr>
          <w:p w14:paraId="13B0A93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09" w:type="dxa"/>
            <w:shd w:val="clear" w:color="auto" w:fill="auto"/>
            <w:vAlign w:val="center"/>
          </w:tcPr>
          <w:p w14:paraId="1A591BD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427" w:type="dxa"/>
            <w:shd w:val="clear" w:color="auto" w:fill="auto"/>
            <w:vAlign w:val="center"/>
          </w:tcPr>
          <w:p w14:paraId="74659A1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7" w:type="dxa"/>
            <w:shd w:val="clear" w:color="auto" w:fill="auto"/>
            <w:vAlign w:val="center"/>
          </w:tcPr>
          <w:p w14:paraId="54FC481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40" w:type="dxa"/>
            <w:shd w:val="clear" w:color="auto" w:fill="auto"/>
            <w:vAlign w:val="center"/>
          </w:tcPr>
          <w:p w14:paraId="7EB306E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B42A08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71640B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57B232C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27F580C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57A301A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600" w:type="dxa"/>
            <w:vAlign w:val="center"/>
          </w:tcPr>
          <w:p w14:paraId="2B56F7A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8E5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7601808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33BD18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9CAC74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0D98472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2322" w:type="dxa"/>
            <w:shd w:val="clear" w:color="auto" w:fill="auto"/>
            <w:vAlign w:val="center"/>
          </w:tcPr>
          <w:p w14:paraId="0678625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437" w:type="dxa"/>
            <w:shd w:val="clear" w:color="auto" w:fill="auto"/>
            <w:vAlign w:val="center"/>
          </w:tcPr>
          <w:p w14:paraId="1669E22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77ACACA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3" w:type="dxa"/>
            <w:shd w:val="clear" w:color="auto" w:fill="auto"/>
            <w:vAlign w:val="center"/>
          </w:tcPr>
          <w:p w14:paraId="41F8A76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30</w:t>
            </w:r>
          </w:p>
        </w:tc>
        <w:tc>
          <w:tcPr>
            <w:tcW w:w="509" w:type="dxa"/>
            <w:shd w:val="clear" w:color="auto" w:fill="auto"/>
            <w:vAlign w:val="center"/>
          </w:tcPr>
          <w:p w14:paraId="17FBE60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w:t>
            </w:r>
          </w:p>
        </w:tc>
        <w:tc>
          <w:tcPr>
            <w:tcW w:w="427" w:type="dxa"/>
            <w:shd w:val="clear" w:color="auto" w:fill="auto"/>
            <w:vAlign w:val="center"/>
          </w:tcPr>
          <w:p w14:paraId="6694823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24FAE5E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128EF76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0" w:type="dxa"/>
            <w:shd w:val="clear" w:color="auto" w:fill="auto"/>
            <w:vAlign w:val="center"/>
          </w:tcPr>
          <w:p w14:paraId="6E91866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63E72C6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16357DC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250FA25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1372679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600" w:type="dxa"/>
            <w:vAlign w:val="center"/>
          </w:tcPr>
          <w:p w14:paraId="706D5F6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87B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vAlign w:val="center"/>
          </w:tcPr>
          <w:p w14:paraId="44F85AD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B29D18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3032F6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5106295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2322" w:type="dxa"/>
            <w:shd w:val="clear" w:color="auto" w:fill="auto"/>
            <w:vAlign w:val="center"/>
          </w:tcPr>
          <w:p w14:paraId="244364F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437" w:type="dxa"/>
            <w:shd w:val="clear" w:color="auto" w:fill="auto"/>
            <w:vAlign w:val="center"/>
          </w:tcPr>
          <w:p w14:paraId="4200297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07114ED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3" w:type="dxa"/>
            <w:shd w:val="clear" w:color="auto" w:fill="auto"/>
            <w:vAlign w:val="center"/>
          </w:tcPr>
          <w:p w14:paraId="0C92B90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09" w:type="dxa"/>
            <w:shd w:val="clear" w:color="auto" w:fill="auto"/>
            <w:vAlign w:val="center"/>
          </w:tcPr>
          <w:p w14:paraId="5BA7B21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427" w:type="dxa"/>
            <w:shd w:val="clear" w:color="auto" w:fill="auto"/>
            <w:vAlign w:val="center"/>
          </w:tcPr>
          <w:p w14:paraId="1E5C10E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7" w:type="dxa"/>
            <w:shd w:val="clear" w:color="auto" w:fill="auto"/>
            <w:vAlign w:val="center"/>
          </w:tcPr>
          <w:p w14:paraId="4A3C9A4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562DBB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4B1AC1B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52" w:type="dxa"/>
            <w:shd w:val="clear" w:color="auto" w:fill="auto"/>
            <w:vAlign w:val="center"/>
          </w:tcPr>
          <w:p w14:paraId="4E2829C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457B599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7836725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1771083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600" w:type="dxa"/>
            <w:vAlign w:val="center"/>
          </w:tcPr>
          <w:p w14:paraId="73D1A35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677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64121B4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C3749D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F7C47D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623686E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6A8E432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565992A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7D41041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2322" w:type="dxa"/>
            <w:shd w:val="clear" w:color="auto" w:fill="auto"/>
            <w:vAlign w:val="center"/>
          </w:tcPr>
          <w:p w14:paraId="735F331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437" w:type="dxa"/>
            <w:shd w:val="clear" w:color="auto" w:fill="auto"/>
            <w:vAlign w:val="center"/>
          </w:tcPr>
          <w:p w14:paraId="0C842F0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BC0C54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3" w:type="dxa"/>
            <w:shd w:val="clear" w:color="auto" w:fill="auto"/>
            <w:vAlign w:val="center"/>
          </w:tcPr>
          <w:p w14:paraId="1EEF0E9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24</w:t>
            </w:r>
          </w:p>
        </w:tc>
        <w:tc>
          <w:tcPr>
            <w:tcW w:w="509" w:type="dxa"/>
            <w:shd w:val="clear" w:color="auto" w:fill="auto"/>
            <w:vAlign w:val="center"/>
          </w:tcPr>
          <w:p w14:paraId="2A5CED0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8</w:t>
            </w:r>
          </w:p>
        </w:tc>
        <w:tc>
          <w:tcPr>
            <w:tcW w:w="427" w:type="dxa"/>
            <w:shd w:val="clear" w:color="auto" w:fill="auto"/>
            <w:vAlign w:val="center"/>
          </w:tcPr>
          <w:p w14:paraId="4287D95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7B0DB1A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40" w:type="dxa"/>
            <w:shd w:val="clear" w:color="auto" w:fill="auto"/>
            <w:vAlign w:val="center"/>
          </w:tcPr>
          <w:p w14:paraId="0A77CB0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50" w:type="dxa"/>
            <w:shd w:val="clear" w:color="auto" w:fill="auto"/>
            <w:vAlign w:val="center"/>
          </w:tcPr>
          <w:p w14:paraId="52EB56D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52" w:type="dxa"/>
            <w:shd w:val="clear" w:color="auto" w:fill="auto"/>
            <w:vAlign w:val="center"/>
          </w:tcPr>
          <w:p w14:paraId="438C5AE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62" w:type="dxa"/>
            <w:vAlign w:val="center"/>
          </w:tcPr>
          <w:p w14:paraId="13F585A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69B6275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27C2B2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600" w:type="dxa"/>
            <w:vAlign w:val="center"/>
          </w:tcPr>
          <w:p w14:paraId="017662C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FCE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3CC4EC0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5121C4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FD9597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2DD2945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63494E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2322" w:type="dxa"/>
            <w:shd w:val="clear" w:color="auto" w:fill="auto"/>
            <w:vAlign w:val="center"/>
          </w:tcPr>
          <w:p w14:paraId="2B9FFC6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437" w:type="dxa"/>
            <w:shd w:val="clear" w:color="auto" w:fill="auto"/>
            <w:vAlign w:val="center"/>
          </w:tcPr>
          <w:p w14:paraId="54711AB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7935E6C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73" w:type="dxa"/>
            <w:shd w:val="clear" w:color="auto" w:fill="auto"/>
            <w:vAlign w:val="center"/>
          </w:tcPr>
          <w:p w14:paraId="3F16747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09" w:type="dxa"/>
            <w:shd w:val="clear" w:color="auto" w:fill="auto"/>
            <w:vAlign w:val="center"/>
          </w:tcPr>
          <w:p w14:paraId="7F67B90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27" w:type="dxa"/>
            <w:shd w:val="clear" w:color="auto" w:fill="auto"/>
            <w:vAlign w:val="center"/>
          </w:tcPr>
          <w:p w14:paraId="3DE5B3D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37" w:type="dxa"/>
            <w:shd w:val="clear" w:color="auto" w:fill="auto"/>
            <w:vAlign w:val="center"/>
          </w:tcPr>
          <w:p w14:paraId="1793B90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40" w:type="dxa"/>
            <w:shd w:val="clear" w:color="auto" w:fill="auto"/>
            <w:vAlign w:val="center"/>
          </w:tcPr>
          <w:p w14:paraId="360BF84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0" w:type="dxa"/>
            <w:shd w:val="clear" w:color="auto" w:fill="auto"/>
            <w:vAlign w:val="center"/>
          </w:tcPr>
          <w:p w14:paraId="1DFD9AC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85DBAE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788A82A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5AF9887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6902F9F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600" w:type="dxa"/>
            <w:vAlign w:val="center"/>
          </w:tcPr>
          <w:p w14:paraId="411C481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0F5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0" w:type="dxa"/>
            <w:vMerge w:val="continue"/>
            <w:vAlign w:val="center"/>
          </w:tcPr>
          <w:p w14:paraId="27C1A4B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5A8314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E92186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31743B6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bookmarkStart w:id="31" w:name="OLE_LINK1"/>
            <w:r>
              <w:rPr>
                <w:rFonts w:ascii="宋体" w:hAnsi="宋体" w:cs="宋体"/>
                <w:color w:val="000000" w:themeColor="text1"/>
                <w:kern w:val="0"/>
                <w:sz w:val="18"/>
                <w:szCs w:val="18"/>
                <w14:textFill>
                  <w14:solidFill>
                    <w14:schemeClr w14:val="tx1"/>
                  </w14:solidFill>
                </w14:textFill>
              </w:rPr>
              <w:t>000007G</w:t>
            </w:r>
            <w:bookmarkEnd w:id="31"/>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2322" w:type="dxa"/>
            <w:shd w:val="clear" w:color="auto" w:fill="auto"/>
            <w:vAlign w:val="center"/>
          </w:tcPr>
          <w:p w14:paraId="6F2F94E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tc>
        <w:tc>
          <w:tcPr>
            <w:tcW w:w="437" w:type="dxa"/>
            <w:shd w:val="clear" w:color="auto" w:fill="auto"/>
            <w:vAlign w:val="center"/>
          </w:tcPr>
          <w:p w14:paraId="19A41BA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C</w:t>
            </w:r>
          </w:p>
        </w:tc>
        <w:tc>
          <w:tcPr>
            <w:tcW w:w="490" w:type="dxa"/>
            <w:shd w:val="clear" w:color="auto" w:fill="auto"/>
            <w:vAlign w:val="center"/>
          </w:tcPr>
          <w:p w14:paraId="0BDD996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573" w:type="dxa"/>
            <w:shd w:val="clear" w:color="auto" w:fill="auto"/>
            <w:vAlign w:val="center"/>
          </w:tcPr>
          <w:p w14:paraId="2349786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09" w:type="dxa"/>
            <w:shd w:val="clear" w:color="auto" w:fill="auto"/>
            <w:vAlign w:val="center"/>
          </w:tcPr>
          <w:p w14:paraId="6E0C29E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427" w:type="dxa"/>
            <w:shd w:val="clear" w:color="auto" w:fill="auto"/>
            <w:vAlign w:val="center"/>
          </w:tcPr>
          <w:p w14:paraId="66BC9E6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437" w:type="dxa"/>
            <w:shd w:val="clear" w:color="auto" w:fill="auto"/>
            <w:vAlign w:val="center"/>
          </w:tcPr>
          <w:p w14:paraId="45A6BFF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40" w:type="dxa"/>
            <w:shd w:val="clear" w:color="auto" w:fill="auto"/>
            <w:vAlign w:val="center"/>
          </w:tcPr>
          <w:p w14:paraId="525B648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0" w:type="dxa"/>
            <w:shd w:val="clear" w:color="auto" w:fill="auto"/>
            <w:vAlign w:val="center"/>
          </w:tcPr>
          <w:p w14:paraId="6BB9B1E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2" w:type="dxa"/>
            <w:shd w:val="clear" w:color="auto" w:fill="auto"/>
            <w:vAlign w:val="center"/>
          </w:tcPr>
          <w:p w14:paraId="55140F6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5F586DA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5A85B07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5A084D5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③</w:t>
            </w:r>
          </w:p>
        </w:tc>
        <w:tc>
          <w:tcPr>
            <w:tcW w:w="600" w:type="dxa"/>
            <w:vAlign w:val="center"/>
          </w:tcPr>
          <w:p w14:paraId="515ABA7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150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vAlign w:val="center"/>
          </w:tcPr>
          <w:p w14:paraId="1AF15B5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5A3866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C1AE78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01" w:type="dxa"/>
            <w:shd w:val="clear" w:color="auto" w:fill="auto"/>
            <w:vAlign w:val="center"/>
          </w:tcPr>
          <w:p w14:paraId="0280D55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2322" w:type="dxa"/>
            <w:shd w:val="clear" w:color="auto" w:fill="auto"/>
            <w:vAlign w:val="center"/>
          </w:tcPr>
          <w:p w14:paraId="3DA9FFB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437" w:type="dxa"/>
            <w:shd w:val="clear" w:color="auto" w:fill="auto"/>
            <w:vAlign w:val="center"/>
          </w:tcPr>
          <w:p w14:paraId="5F329D2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1140E27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3392D8A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0A82F7B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27" w:type="dxa"/>
            <w:shd w:val="clear" w:color="auto" w:fill="auto"/>
            <w:vAlign w:val="center"/>
          </w:tcPr>
          <w:p w14:paraId="4317C8C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61981FA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5A9492D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0" w:type="dxa"/>
            <w:shd w:val="clear" w:color="auto" w:fill="auto"/>
            <w:vAlign w:val="center"/>
          </w:tcPr>
          <w:p w14:paraId="3EB47DA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6C04D8D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735F617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3F9F60F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3138FC41">
            <w:pPr>
              <w:pageBreakBefore w:val="0"/>
              <w:widowControl/>
              <w:kinsoku/>
              <w:wordWrap/>
              <w:overflowPunct/>
              <w:topLinePunct w:val="0"/>
              <w:bidi w:val="0"/>
              <w:spacing w:line="360" w:lineRule="exact"/>
              <w:jc w:val="center"/>
              <w:rPr>
                <w:color w:val="000000"/>
                <w:kern w:val="0"/>
                <w:sz w:val="18"/>
                <w:szCs w:val="18"/>
              </w:rPr>
            </w:pPr>
            <w:r>
              <w:rPr>
                <w:rFonts w:hint="eastAsia" w:ascii="宋体" w:hAnsi="宋体"/>
                <w:color w:val="000000"/>
                <w:sz w:val="18"/>
                <w:szCs w:val="18"/>
              </w:rPr>
              <w:t>⑤</w:t>
            </w:r>
          </w:p>
        </w:tc>
        <w:tc>
          <w:tcPr>
            <w:tcW w:w="600" w:type="dxa"/>
            <w:vAlign w:val="center"/>
          </w:tcPr>
          <w:p w14:paraId="5BCEA3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E9E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039D1D8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92FC5C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21D92C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01" w:type="dxa"/>
            <w:shd w:val="clear" w:color="auto" w:fill="auto"/>
            <w:vAlign w:val="center"/>
          </w:tcPr>
          <w:p w14:paraId="5E14429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2322" w:type="dxa"/>
            <w:shd w:val="clear" w:color="auto" w:fill="auto"/>
            <w:vAlign w:val="center"/>
          </w:tcPr>
          <w:p w14:paraId="276F963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437" w:type="dxa"/>
            <w:shd w:val="clear" w:color="auto" w:fill="auto"/>
            <w:vAlign w:val="center"/>
          </w:tcPr>
          <w:p w14:paraId="61474A2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3838A3A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573" w:type="dxa"/>
            <w:shd w:val="clear" w:color="auto" w:fill="auto"/>
            <w:vAlign w:val="center"/>
          </w:tcPr>
          <w:p w14:paraId="782C6B6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6DFC66B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427" w:type="dxa"/>
            <w:shd w:val="clear" w:color="auto" w:fill="auto"/>
            <w:vAlign w:val="center"/>
          </w:tcPr>
          <w:p w14:paraId="02191ED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7" w:type="dxa"/>
            <w:shd w:val="clear" w:color="auto" w:fill="auto"/>
            <w:vAlign w:val="center"/>
          </w:tcPr>
          <w:p w14:paraId="3F26AF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440" w:type="dxa"/>
            <w:shd w:val="clear" w:color="auto" w:fill="auto"/>
            <w:vAlign w:val="center"/>
          </w:tcPr>
          <w:p w14:paraId="2CE8D28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0238BEE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2F9A48C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49C4ADE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67559DF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3B399FA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600" w:type="dxa"/>
            <w:vAlign w:val="center"/>
          </w:tcPr>
          <w:p w14:paraId="4A01EFF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B14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0DF7EED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A8E88F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F8D094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01" w:type="dxa"/>
            <w:shd w:val="clear" w:color="auto" w:fill="auto"/>
            <w:vAlign w:val="center"/>
          </w:tcPr>
          <w:p w14:paraId="4FA0E9A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2322" w:type="dxa"/>
            <w:shd w:val="clear" w:color="auto" w:fill="auto"/>
            <w:vAlign w:val="center"/>
          </w:tcPr>
          <w:p w14:paraId="575F20F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437" w:type="dxa"/>
            <w:shd w:val="clear" w:color="auto" w:fill="auto"/>
            <w:vAlign w:val="center"/>
          </w:tcPr>
          <w:p w14:paraId="6C3551D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6663F4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3" w:type="dxa"/>
            <w:shd w:val="clear" w:color="auto" w:fill="auto"/>
            <w:vAlign w:val="center"/>
          </w:tcPr>
          <w:p w14:paraId="67F4267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0436CAF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27" w:type="dxa"/>
            <w:shd w:val="clear" w:color="auto" w:fill="auto"/>
            <w:vAlign w:val="center"/>
          </w:tcPr>
          <w:p w14:paraId="0CF8562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7" w:type="dxa"/>
            <w:shd w:val="clear" w:color="auto" w:fill="auto"/>
            <w:vAlign w:val="center"/>
          </w:tcPr>
          <w:p w14:paraId="69D0DA2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344928F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D06D13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2" w:type="dxa"/>
            <w:shd w:val="clear" w:color="auto" w:fill="auto"/>
            <w:vAlign w:val="center"/>
          </w:tcPr>
          <w:p w14:paraId="4274967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51A09FD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2B1B01E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506CEA5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600" w:type="dxa"/>
            <w:vAlign w:val="center"/>
          </w:tcPr>
          <w:p w14:paraId="7F0DAF5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C45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315CA22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8B0D5F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74B1A4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01" w:type="dxa"/>
            <w:shd w:val="clear" w:color="auto" w:fill="auto"/>
            <w:vAlign w:val="center"/>
          </w:tcPr>
          <w:p w14:paraId="6B7D763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2322" w:type="dxa"/>
            <w:shd w:val="clear" w:color="auto" w:fill="auto"/>
            <w:vAlign w:val="center"/>
          </w:tcPr>
          <w:p w14:paraId="0B97DED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437" w:type="dxa"/>
            <w:shd w:val="clear" w:color="auto" w:fill="auto"/>
            <w:vAlign w:val="center"/>
          </w:tcPr>
          <w:p w14:paraId="27FCB89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7F4334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11EEC3E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6D7F8FE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shd w:val="clear" w:color="auto" w:fill="auto"/>
            <w:vAlign w:val="center"/>
          </w:tcPr>
          <w:p w14:paraId="11E8F10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22F6A9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098CFBC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0" w:type="dxa"/>
            <w:shd w:val="clear" w:color="auto" w:fill="auto"/>
            <w:vAlign w:val="center"/>
          </w:tcPr>
          <w:p w14:paraId="0F7F02B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2969BC0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27CB374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116ABDB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7265610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600" w:type="dxa"/>
            <w:vAlign w:val="center"/>
          </w:tcPr>
          <w:p w14:paraId="54FC397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2E3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583D793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7C2D79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15C365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01" w:type="dxa"/>
            <w:vAlign w:val="center"/>
          </w:tcPr>
          <w:p w14:paraId="58BA940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2322" w:type="dxa"/>
            <w:shd w:val="clear" w:color="auto" w:fill="auto"/>
            <w:vAlign w:val="center"/>
          </w:tcPr>
          <w:p w14:paraId="2BF686A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437" w:type="dxa"/>
            <w:shd w:val="clear" w:color="auto" w:fill="auto"/>
            <w:vAlign w:val="center"/>
          </w:tcPr>
          <w:p w14:paraId="3E4557D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A2A2BC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57A5773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232F068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7" w:type="dxa"/>
            <w:shd w:val="clear" w:color="auto" w:fill="auto"/>
            <w:vAlign w:val="center"/>
          </w:tcPr>
          <w:p w14:paraId="5578A3F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58EBDA0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5BD1EA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0" w:type="dxa"/>
            <w:vAlign w:val="center"/>
          </w:tcPr>
          <w:p w14:paraId="5AB6515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2725C9B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3D60C05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7AD44D0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49EC5CB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600" w:type="dxa"/>
            <w:vAlign w:val="center"/>
          </w:tcPr>
          <w:p w14:paraId="70414FC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75F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3D9F6E0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6F0444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719EC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01" w:type="dxa"/>
            <w:vAlign w:val="center"/>
          </w:tcPr>
          <w:p w14:paraId="4F53DCC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2322" w:type="dxa"/>
            <w:vAlign w:val="center"/>
          </w:tcPr>
          <w:p w14:paraId="5C1264D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437" w:type="dxa"/>
            <w:vAlign w:val="center"/>
          </w:tcPr>
          <w:p w14:paraId="6B73CDD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7C1D7E0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vAlign w:val="center"/>
          </w:tcPr>
          <w:p w14:paraId="53DF9C6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5FE97B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7" w:type="dxa"/>
            <w:vAlign w:val="center"/>
          </w:tcPr>
          <w:p w14:paraId="5D9CDDD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vAlign w:val="center"/>
          </w:tcPr>
          <w:p w14:paraId="65236C9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40" w:type="dxa"/>
            <w:vAlign w:val="center"/>
          </w:tcPr>
          <w:p w14:paraId="0DF1055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0" w:type="dxa"/>
            <w:vAlign w:val="center"/>
          </w:tcPr>
          <w:p w14:paraId="21ADC4F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3B34C8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5E387C3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124B1AE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51FCDA8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600" w:type="dxa"/>
            <w:vAlign w:val="center"/>
          </w:tcPr>
          <w:p w14:paraId="6DDAFA8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A7F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469472C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B10B69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B919A0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01" w:type="dxa"/>
            <w:vAlign w:val="center"/>
          </w:tcPr>
          <w:p w14:paraId="46918A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2322" w:type="dxa"/>
            <w:vAlign w:val="center"/>
          </w:tcPr>
          <w:p w14:paraId="116593C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437" w:type="dxa"/>
            <w:vAlign w:val="center"/>
          </w:tcPr>
          <w:p w14:paraId="781E02F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329BB9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3" w:type="dxa"/>
            <w:vAlign w:val="center"/>
          </w:tcPr>
          <w:p w14:paraId="3B97CF3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294EB20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27" w:type="dxa"/>
            <w:vAlign w:val="center"/>
          </w:tcPr>
          <w:p w14:paraId="77C793D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7" w:type="dxa"/>
            <w:vAlign w:val="center"/>
          </w:tcPr>
          <w:p w14:paraId="0777A38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40" w:type="dxa"/>
            <w:vAlign w:val="center"/>
          </w:tcPr>
          <w:p w14:paraId="29DFC27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521D3C7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40325D5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398BD1E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718AAE0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43F22EC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600" w:type="dxa"/>
            <w:vAlign w:val="center"/>
          </w:tcPr>
          <w:p w14:paraId="748776E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bookmarkEnd w:id="30"/>
      <w:tr w14:paraId="7D16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5350194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32" w:name="OLE_LINK15" w:colFirst="5" w:colLast="12"/>
          </w:p>
        </w:tc>
        <w:tc>
          <w:tcPr>
            <w:tcW w:w="419" w:type="dxa"/>
            <w:vMerge w:val="continue"/>
            <w:vAlign w:val="center"/>
          </w:tcPr>
          <w:p w14:paraId="679B624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34C6E2C9">
            <w:pPr>
              <w:pageBreakBefore w:val="0"/>
              <w:widowControl/>
              <w:kinsoku/>
              <w:wordWrap/>
              <w:overflowPunct/>
              <w:topLinePunct w:val="0"/>
              <w:bidi w:val="0"/>
              <w:spacing w:line="360" w:lineRule="exact"/>
              <w:jc w:val="center"/>
              <w:rPr>
                <w:rFonts w:ascii="宋体" w:hAnsi="宋体" w:cs="宋体"/>
                <w:b/>
                <w:bCs w:val="0"/>
                <w:color w:val="000000" w:themeColor="text1"/>
                <w:kern w:val="0"/>
                <w:sz w:val="18"/>
                <w:szCs w:val="18"/>
                <w14:textFill>
                  <w14:solidFill>
                    <w14:schemeClr w14:val="tx1"/>
                  </w14:solidFill>
                </w14:textFill>
              </w:rPr>
            </w:pPr>
            <w:r>
              <w:rPr>
                <w:rFonts w:hint="eastAsia" w:ascii="宋体" w:hAnsi="宋体" w:cs="宋体"/>
                <w:b/>
                <w:bCs w:val="0"/>
                <w:color w:val="000000" w:themeColor="text1"/>
                <w:kern w:val="0"/>
                <w:sz w:val="18"/>
                <w:szCs w:val="18"/>
                <w14:textFill>
                  <w14:solidFill>
                    <w14:schemeClr w14:val="tx1"/>
                  </w14:solidFill>
                </w14:textFill>
              </w:rPr>
              <w:t>小计</w:t>
            </w:r>
          </w:p>
        </w:tc>
        <w:tc>
          <w:tcPr>
            <w:tcW w:w="2322" w:type="dxa"/>
            <w:vAlign w:val="center"/>
          </w:tcPr>
          <w:p w14:paraId="02EB2EAB">
            <w:pPr>
              <w:pageBreakBefore w:val="0"/>
              <w:widowControl/>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r>
              <w:rPr>
                <w:rFonts w:hint="eastAsia" w:ascii="宋体" w:hAnsi="宋体" w:cs="宋体"/>
                <w:b/>
                <w:bCs w:val="0"/>
                <w:color w:val="000000" w:themeColor="text1"/>
                <w:kern w:val="0"/>
                <w:sz w:val="18"/>
                <w:szCs w:val="18"/>
                <w:lang w:val="en-US" w:eastAsia="zh-CN"/>
                <w14:textFill>
                  <w14:solidFill>
                    <w14:schemeClr w14:val="tx1"/>
                  </w14:solidFill>
                </w14:textFill>
              </w:rPr>
              <w:t>共15门</w:t>
            </w:r>
          </w:p>
        </w:tc>
        <w:tc>
          <w:tcPr>
            <w:tcW w:w="437" w:type="dxa"/>
            <w:vAlign w:val="center"/>
          </w:tcPr>
          <w:p w14:paraId="054527B4">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p>
        </w:tc>
        <w:tc>
          <w:tcPr>
            <w:tcW w:w="490" w:type="dxa"/>
            <w:vAlign w:val="center"/>
          </w:tcPr>
          <w:p w14:paraId="2566F167">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736</w:t>
            </w:r>
          </w:p>
        </w:tc>
        <w:tc>
          <w:tcPr>
            <w:tcW w:w="573" w:type="dxa"/>
            <w:vAlign w:val="center"/>
          </w:tcPr>
          <w:p w14:paraId="021C28DB">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434</w:t>
            </w:r>
          </w:p>
        </w:tc>
        <w:tc>
          <w:tcPr>
            <w:tcW w:w="509" w:type="dxa"/>
            <w:vAlign w:val="center"/>
          </w:tcPr>
          <w:p w14:paraId="2C2790BB">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302</w:t>
            </w:r>
          </w:p>
        </w:tc>
        <w:tc>
          <w:tcPr>
            <w:tcW w:w="427" w:type="dxa"/>
            <w:vAlign w:val="center"/>
          </w:tcPr>
          <w:p w14:paraId="7FA027B7">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42</w:t>
            </w:r>
          </w:p>
        </w:tc>
        <w:tc>
          <w:tcPr>
            <w:tcW w:w="437" w:type="dxa"/>
            <w:vAlign w:val="center"/>
          </w:tcPr>
          <w:p w14:paraId="43605A09">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336</w:t>
            </w:r>
          </w:p>
        </w:tc>
        <w:tc>
          <w:tcPr>
            <w:tcW w:w="440" w:type="dxa"/>
            <w:vAlign w:val="center"/>
          </w:tcPr>
          <w:p w14:paraId="46B8C20E">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284</w:t>
            </w:r>
          </w:p>
        </w:tc>
        <w:tc>
          <w:tcPr>
            <w:tcW w:w="450" w:type="dxa"/>
            <w:vAlign w:val="center"/>
          </w:tcPr>
          <w:p w14:paraId="11C9FDC4">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108</w:t>
            </w:r>
          </w:p>
        </w:tc>
        <w:tc>
          <w:tcPr>
            <w:tcW w:w="452" w:type="dxa"/>
            <w:vAlign w:val="center"/>
          </w:tcPr>
          <w:p w14:paraId="0EC78FA2">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8</w:t>
            </w:r>
          </w:p>
        </w:tc>
        <w:tc>
          <w:tcPr>
            <w:tcW w:w="462" w:type="dxa"/>
            <w:vAlign w:val="center"/>
          </w:tcPr>
          <w:p w14:paraId="1D3B794E">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p>
        </w:tc>
        <w:tc>
          <w:tcPr>
            <w:tcW w:w="450" w:type="dxa"/>
            <w:vAlign w:val="center"/>
          </w:tcPr>
          <w:p w14:paraId="651BF11C">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p>
        </w:tc>
        <w:tc>
          <w:tcPr>
            <w:tcW w:w="474" w:type="dxa"/>
            <w:vAlign w:val="center"/>
          </w:tcPr>
          <w:p w14:paraId="29661D87">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p>
        </w:tc>
        <w:tc>
          <w:tcPr>
            <w:tcW w:w="600" w:type="dxa"/>
            <w:vAlign w:val="center"/>
          </w:tcPr>
          <w:p w14:paraId="05842B1A">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p>
        </w:tc>
      </w:tr>
      <w:bookmarkEnd w:id="32"/>
      <w:tr w14:paraId="72FB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50" w:type="dxa"/>
            <w:vMerge w:val="continue"/>
            <w:vAlign w:val="center"/>
          </w:tcPr>
          <w:p w14:paraId="6BD3654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221AE48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选修</w:t>
            </w:r>
            <w:r>
              <w:rPr>
                <w:rFonts w:hint="eastAsia" w:ascii="宋体" w:hAnsi="宋体" w:cs="宋体"/>
                <w:color w:val="000000" w:themeColor="text1"/>
                <w:kern w:val="0"/>
                <w:sz w:val="18"/>
                <w:szCs w:val="18"/>
                <w14:textFill>
                  <w14:solidFill>
                    <w14:schemeClr w14:val="tx1"/>
                  </w14:solidFill>
                </w14:textFill>
              </w:rPr>
              <w:t>课</w:t>
            </w:r>
          </w:p>
        </w:tc>
        <w:tc>
          <w:tcPr>
            <w:tcW w:w="396" w:type="dxa"/>
            <w:vMerge w:val="restart"/>
            <w:vAlign w:val="center"/>
          </w:tcPr>
          <w:p w14:paraId="27FC2C68">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901" w:type="dxa"/>
            <w:vAlign w:val="center"/>
          </w:tcPr>
          <w:p w14:paraId="3B473A6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322" w:type="dxa"/>
            <w:vMerge w:val="restart"/>
            <w:shd w:val="clear" w:color="auto" w:fill="auto"/>
            <w:vAlign w:val="center"/>
          </w:tcPr>
          <w:p w14:paraId="7866D730">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sz w:val="18"/>
                <w:szCs w:val="18"/>
                <w:lang w:val="en-US" w:eastAsia="zh-CN"/>
              </w:rPr>
              <w:t>公共选修课清单表中艺术类课程8门课程限选2门，具体开设学期及课程以实际执行为准</w:t>
            </w:r>
          </w:p>
        </w:tc>
        <w:tc>
          <w:tcPr>
            <w:tcW w:w="437" w:type="dxa"/>
            <w:shd w:val="clear" w:color="auto" w:fill="auto"/>
            <w:vAlign w:val="center"/>
          </w:tcPr>
          <w:p w14:paraId="0C9717B6">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3728BF4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6BE4855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4AC6046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7" w:type="dxa"/>
            <w:shd w:val="clear" w:color="auto" w:fill="auto"/>
            <w:vAlign w:val="center"/>
          </w:tcPr>
          <w:p w14:paraId="62EC9FA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63B9249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40" w:type="dxa"/>
            <w:shd w:val="clear" w:color="auto" w:fill="auto"/>
            <w:vAlign w:val="center"/>
          </w:tcPr>
          <w:p w14:paraId="03677C1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F49203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5C1A90E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59321E7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1C3236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272F0536">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600" w:type="dxa"/>
            <w:vAlign w:val="center"/>
          </w:tcPr>
          <w:p w14:paraId="77A9DDEA">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1A48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 w:type="dxa"/>
            <w:vMerge w:val="continue"/>
            <w:vAlign w:val="center"/>
          </w:tcPr>
          <w:p w14:paraId="0A50ED6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4CCB63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12BF6B4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901" w:type="dxa"/>
            <w:vAlign w:val="center"/>
          </w:tcPr>
          <w:p w14:paraId="254166E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322" w:type="dxa"/>
            <w:vMerge w:val="continue"/>
            <w:vAlign w:val="center"/>
          </w:tcPr>
          <w:p w14:paraId="0051B2C2">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37" w:type="dxa"/>
            <w:vAlign w:val="center"/>
          </w:tcPr>
          <w:p w14:paraId="1D3895FA">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35AEF8C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055B879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2B63ABF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7" w:type="dxa"/>
            <w:shd w:val="clear" w:color="auto" w:fill="auto"/>
            <w:vAlign w:val="center"/>
          </w:tcPr>
          <w:p w14:paraId="3AF0996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387434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2AE496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0" w:type="dxa"/>
            <w:shd w:val="clear" w:color="auto" w:fill="auto"/>
            <w:vAlign w:val="center"/>
          </w:tcPr>
          <w:p w14:paraId="6747724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7F8E90E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2E39D2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4240B7A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313095E9">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600" w:type="dxa"/>
            <w:vAlign w:val="center"/>
          </w:tcPr>
          <w:p w14:paraId="201AF00C">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08F1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7857E9C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FFC9FF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restart"/>
            <w:vAlign w:val="center"/>
          </w:tcPr>
          <w:p w14:paraId="7ECEE76E">
            <w:pPr>
              <w:pageBreakBefore w:val="0"/>
              <w:widowControl/>
              <w:kinsoku/>
              <w:wordWrap/>
              <w:overflowPunct/>
              <w:topLinePunct w:val="0"/>
              <w:bidi w:val="0"/>
              <w:spacing w:line="360" w:lineRule="exact"/>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任选课</w:t>
            </w:r>
          </w:p>
        </w:tc>
        <w:tc>
          <w:tcPr>
            <w:tcW w:w="901" w:type="dxa"/>
            <w:vAlign w:val="center"/>
          </w:tcPr>
          <w:p w14:paraId="0A96AAA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322" w:type="dxa"/>
            <w:vMerge w:val="restart"/>
            <w:vAlign w:val="center"/>
          </w:tcPr>
          <w:p w14:paraId="74945959">
            <w:pPr>
              <w:pageBreakBefore w:val="0"/>
              <w:widowControl/>
              <w:kinsoku/>
              <w:wordWrap/>
              <w:overflowPunct/>
              <w:topLinePunct w:val="0"/>
              <w:bidi w:val="0"/>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sz w:val="18"/>
                <w:szCs w:val="18"/>
                <w:lang w:val="en-US" w:eastAsia="zh-CN"/>
              </w:rPr>
              <w:t>公共选修课清单表中的课程任选2门</w:t>
            </w:r>
          </w:p>
        </w:tc>
        <w:tc>
          <w:tcPr>
            <w:tcW w:w="437" w:type="dxa"/>
            <w:vAlign w:val="center"/>
          </w:tcPr>
          <w:p w14:paraId="390E5931">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C8871A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0509C32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51B2041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7" w:type="dxa"/>
            <w:shd w:val="clear" w:color="auto" w:fill="auto"/>
            <w:vAlign w:val="center"/>
          </w:tcPr>
          <w:p w14:paraId="5EB7B4A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7D58BF3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4993E4A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EEBB5A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2" w:type="dxa"/>
            <w:shd w:val="clear" w:color="auto" w:fill="auto"/>
            <w:vAlign w:val="center"/>
          </w:tcPr>
          <w:p w14:paraId="13CD1F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092EF07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DA620B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555DCBAB">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600" w:type="dxa"/>
            <w:vAlign w:val="center"/>
          </w:tcPr>
          <w:p w14:paraId="08F67F1A">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30AF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44C636E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273A05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55B67C11">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901" w:type="dxa"/>
            <w:vAlign w:val="center"/>
          </w:tcPr>
          <w:p w14:paraId="142B4515">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322" w:type="dxa"/>
            <w:vMerge w:val="continue"/>
            <w:vAlign w:val="center"/>
          </w:tcPr>
          <w:p w14:paraId="4BA8CA47">
            <w:pPr>
              <w:pageBreakBefore w:val="0"/>
              <w:widowControl/>
              <w:kinsoku/>
              <w:wordWrap/>
              <w:overflowPunct/>
              <w:topLinePunct w:val="0"/>
              <w:bidi w:val="0"/>
              <w:spacing w:line="360" w:lineRule="exact"/>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p>
        </w:tc>
        <w:tc>
          <w:tcPr>
            <w:tcW w:w="437" w:type="dxa"/>
            <w:vAlign w:val="center"/>
          </w:tcPr>
          <w:p w14:paraId="5C7A5DDA">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7B04AB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131BBBB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61CF8EF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7" w:type="dxa"/>
            <w:shd w:val="clear" w:color="auto" w:fill="auto"/>
            <w:vAlign w:val="center"/>
          </w:tcPr>
          <w:p w14:paraId="0630D96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0854B01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570AC3D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E3B285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2E31401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62" w:type="dxa"/>
            <w:shd w:val="clear" w:color="auto" w:fill="auto"/>
            <w:vAlign w:val="center"/>
          </w:tcPr>
          <w:p w14:paraId="3E2D89F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03B2354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48544233">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600" w:type="dxa"/>
            <w:vAlign w:val="center"/>
          </w:tcPr>
          <w:p w14:paraId="7822A891">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508D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A041F0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33" w:name="OLE_LINK16" w:colFirst="5" w:colLast="12"/>
          </w:p>
        </w:tc>
        <w:tc>
          <w:tcPr>
            <w:tcW w:w="419" w:type="dxa"/>
            <w:vMerge w:val="continue"/>
            <w:vAlign w:val="center"/>
          </w:tcPr>
          <w:p w14:paraId="6093417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3C916BBD">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小计</w:t>
            </w:r>
          </w:p>
        </w:tc>
        <w:tc>
          <w:tcPr>
            <w:tcW w:w="2322" w:type="dxa"/>
            <w:vAlign w:val="center"/>
          </w:tcPr>
          <w:p w14:paraId="143BE8B6">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共4门</w:t>
            </w:r>
          </w:p>
        </w:tc>
        <w:tc>
          <w:tcPr>
            <w:tcW w:w="437" w:type="dxa"/>
            <w:vAlign w:val="center"/>
          </w:tcPr>
          <w:p w14:paraId="15DD071F">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shd w:val="clear" w:color="auto" w:fill="auto"/>
            <w:vAlign w:val="center"/>
          </w:tcPr>
          <w:p w14:paraId="2CC961FF">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128</w:t>
            </w:r>
          </w:p>
        </w:tc>
        <w:tc>
          <w:tcPr>
            <w:tcW w:w="573" w:type="dxa"/>
            <w:shd w:val="clear" w:color="auto" w:fill="auto"/>
            <w:vAlign w:val="center"/>
          </w:tcPr>
          <w:p w14:paraId="14550F1D">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64</w:t>
            </w:r>
          </w:p>
        </w:tc>
        <w:tc>
          <w:tcPr>
            <w:tcW w:w="509" w:type="dxa"/>
            <w:shd w:val="clear" w:color="auto" w:fill="auto"/>
            <w:vAlign w:val="center"/>
          </w:tcPr>
          <w:p w14:paraId="3C221951">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64</w:t>
            </w:r>
          </w:p>
        </w:tc>
        <w:tc>
          <w:tcPr>
            <w:tcW w:w="427" w:type="dxa"/>
            <w:shd w:val="clear" w:color="auto" w:fill="auto"/>
            <w:vAlign w:val="center"/>
          </w:tcPr>
          <w:p w14:paraId="6646396A">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8</w:t>
            </w:r>
          </w:p>
        </w:tc>
        <w:tc>
          <w:tcPr>
            <w:tcW w:w="437" w:type="dxa"/>
            <w:shd w:val="clear" w:color="auto" w:fill="auto"/>
            <w:vAlign w:val="center"/>
          </w:tcPr>
          <w:p w14:paraId="27DF79A3">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32</w:t>
            </w:r>
          </w:p>
        </w:tc>
        <w:tc>
          <w:tcPr>
            <w:tcW w:w="440" w:type="dxa"/>
            <w:shd w:val="clear" w:color="auto" w:fill="auto"/>
            <w:vAlign w:val="center"/>
          </w:tcPr>
          <w:p w14:paraId="356169A5">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32</w:t>
            </w:r>
          </w:p>
        </w:tc>
        <w:tc>
          <w:tcPr>
            <w:tcW w:w="450" w:type="dxa"/>
            <w:shd w:val="clear" w:color="auto" w:fill="auto"/>
            <w:vAlign w:val="center"/>
          </w:tcPr>
          <w:p w14:paraId="257C5D47">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32</w:t>
            </w:r>
          </w:p>
        </w:tc>
        <w:tc>
          <w:tcPr>
            <w:tcW w:w="452" w:type="dxa"/>
            <w:shd w:val="clear" w:color="auto" w:fill="auto"/>
            <w:vAlign w:val="center"/>
          </w:tcPr>
          <w:p w14:paraId="29B17454">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32</w:t>
            </w:r>
          </w:p>
        </w:tc>
        <w:tc>
          <w:tcPr>
            <w:tcW w:w="462" w:type="dxa"/>
            <w:shd w:val="clear" w:color="auto" w:fill="auto"/>
            <w:vAlign w:val="center"/>
          </w:tcPr>
          <w:p w14:paraId="0EE31F80">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50" w:type="dxa"/>
            <w:shd w:val="clear" w:color="auto" w:fill="auto"/>
            <w:vAlign w:val="center"/>
          </w:tcPr>
          <w:p w14:paraId="5F23EBD0">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74" w:type="dxa"/>
            <w:shd w:val="clear" w:color="auto" w:fill="auto"/>
            <w:vAlign w:val="center"/>
          </w:tcPr>
          <w:p w14:paraId="6BC4DF88">
            <w:pPr>
              <w:pageBreakBefore w:val="0"/>
              <w:widowControl/>
              <w:kinsoku/>
              <w:wordWrap/>
              <w:overflowPunct/>
              <w:topLinePunct w:val="0"/>
              <w:bidi w:val="0"/>
              <w:spacing w:line="360" w:lineRule="exact"/>
              <w:jc w:val="center"/>
              <w:textAlignment w:val="center"/>
              <w:rPr>
                <w:rFonts w:ascii="宋体" w:hAnsi="宋体" w:cs="宋体"/>
                <w:b/>
                <w:bCs/>
                <w:color w:val="0000FF"/>
                <w:kern w:val="0"/>
                <w:sz w:val="13"/>
                <w:szCs w:val="13"/>
              </w:rPr>
            </w:pPr>
          </w:p>
        </w:tc>
        <w:tc>
          <w:tcPr>
            <w:tcW w:w="600" w:type="dxa"/>
            <w:vAlign w:val="center"/>
          </w:tcPr>
          <w:p w14:paraId="2F758AC0">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14:textFill>
                  <w14:solidFill>
                    <w14:schemeClr w14:val="tx1"/>
                  </w14:solidFill>
                </w14:textFill>
              </w:rPr>
            </w:pPr>
          </w:p>
        </w:tc>
      </w:tr>
      <w:bookmarkEnd w:id="33"/>
      <w:tr w14:paraId="5E29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5F0A651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bookmarkStart w:id="34" w:name="OLE_LINK14" w:colFirst="6" w:colLast="13"/>
            <w:r>
              <w:rPr>
                <w:rFonts w:hint="eastAsia" w:ascii="宋体" w:hAnsi="宋体" w:cs="宋体"/>
                <w:color w:val="000000" w:themeColor="text1"/>
                <w:kern w:val="0"/>
                <w:sz w:val="18"/>
                <w:szCs w:val="18"/>
                <w14:textFill>
                  <w14:solidFill>
                    <w14:schemeClr w14:val="tx1"/>
                  </w14:solidFill>
                </w14:textFill>
              </w:rPr>
              <w:t>专业技能课</w:t>
            </w:r>
          </w:p>
        </w:tc>
        <w:tc>
          <w:tcPr>
            <w:tcW w:w="419" w:type="dxa"/>
            <w:vMerge w:val="restart"/>
            <w:vAlign w:val="center"/>
          </w:tcPr>
          <w:p w14:paraId="658E9F4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396" w:type="dxa"/>
            <w:vAlign w:val="center"/>
          </w:tcPr>
          <w:p w14:paraId="3AC2310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shd w:val="clear" w:color="auto" w:fill="auto"/>
            <w:vAlign w:val="center"/>
          </w:tcPr>
          <w:p w14:paraId="7C088E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080301Z</w:t>
            </w:r>
          </w:p>
        </w:tc>
        <w:tc>
          <w:tcPr>
            <w:tcW w:w="2322" w:type="dxa"/>
            <w:shd w:val="clear" w:color="auto" w:fill="auto"/>
            <w:vAlign w:val="center"/>
          </w:tcPr>
          <w:p w14:paraId="21120A8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学前教育概论</w:t>
            </w:r>
          </w:p>
        </w:tc>
        <w:tc>
          <w:tcPr>
            <w:tcW w:w="437" w:type="dxa"/>
            <w:shd w:val="clear" w:color="auto" w:fill="auto"/>
            <w:vAlign w:val="center"/>
          </w:tcPr>
          <w:p w14:paraId="0A72D6C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14FF1BE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149D8A4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24</w:t>
            </w:r>
          </w:p>
        </w:tc>
        <w:tc>
          <w:tcPr>
            <w:tcW w:w="509" w:type="dxa"/>
            <w:shd w:val="clear" w:color="auto" w:fill="auto"/>
            <w:vAlign w:val="center"/>
          </w:tcPr>
          <w:p w14:paraId="71D9D36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8</w:t>
            </w:r>
          </w:p>
        </w:tc>
        <w:tc>
          <w:tcPr>
            <w:tcW w:w="427" w:type="dxa"/>
            <w:shd w:val="clear" w:color="auto" w:fill="auto"/>
            <w:vAlign w:val="center"/>
          </w:tcPr>
          <w:p w14:paraId="7D4D5C5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68B4FD2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440" w:type="dxa"/>
            <w:shd w:val="clear" w:color="auto" w:fill="auto"/>
            <w:vAlign w:val="center"/>
          </w:tcPr>
          <w:p w14:paraId="5EE282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44685FE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D08D06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37E93CF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7E96C8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4AA8B51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600" w:type="dxa"/>
            <w:vAlign w:val="center"/>
          </w:tcPr>
          <w:p w14:paraId="2CA3FEE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292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899709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15841A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F1CFC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7B9FD0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080302Z</w:t>
            </w:r>
          </w:p>
        </w:tc>
        <w:tc>
          <w:tcPr>
            <w:tcW w:w="2322" w:type="dxa"/>
            <w:shd w:val="clear" w:color="auto" w:fill="auto"/>
            <w:vAlign w:val="center"/>
          </w:tcPr>
          <w:p w14:paraId="3873505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学前儿童心理发展</w:t>
            </w:r>
          </w:p>
        </w:tc>
        <w:tc>
          <w:tcPr>
            <w:tcW w:w="437" w:type="dxa"/>
            <w:shd w:val="clear" w:color="auto" w:fill="auto"/>
            <w:vAlign w:val="center"/>
          </w:tcPr>
          <w:p w14:paraId="675801E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0DE7B0F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0BC60EC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24</w:t>
            </w:r>
          </w:p>
        </w:tc>
        <w:tc>
          <w:tcPr>
            <w:tcW w:w="509" w:type="dxa"/>
            <w:shd w:val="clear" w:color="auto" w:fill="auto"/>
            <w:vAlign w:val="center"/>
          </w:tcPr>
          <w:p w14:paraId="001546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27" w:type="dxa"/>
            <w:shd w:val="clear" w:color="auto" w:fill="auto"/>
            <w:vAlign w:val="center"/>
          </w:tcPr>
          <w:p w14:paraId="5670AAE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409782F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0D51093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0" w:type="dxa"/>
            <w:shd w:val="clear" w:color="auto" w:fill="auto"/>
            <w:vAlign w:val="center"/>
          </w:tcPr>
          <w:p w14:paraId="43FBB8A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14ADA25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2460EAE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3881BE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3E6AA1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600" w:type="dxa"/>
            <w:vAlign w:val="center"/>
          </w:tcPr>
          <w:p w14:paraId="020912C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75F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A57E8A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27BFC0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5509F5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901" w:type="dxa"/>
            <w:shd w:val="clear" w:color="auto" w:fill="auto"/>
            <w:vAlign w:val="center"/>
          </w:tcPr>
          <w:p w14:paraId="317B7C0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080303Z</w:t>
            </w:r>
          </w:p>
        </w:tc>
        <w:tc>
          <w:tcPr>
            <w:tcW w:w="2322" w:type="dxa"/>
            <w:shd w:val="clear" w:color="auto" w:fill="auto"/>
            <w:vAlign w:val="center"/>
          </w:tcPr>
          <w:p w14:paraId="5DAD685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学前儿童卫生与保健</w:t>
            </w:r>
          </w:p>
        </w:tc>
        <w:tc>
          <w:tcPr>
            <w:tcW w:w="437" w:type="dxa"/>
            <w:shd w:val="clear" w:color="auto" w:fill="auto"/>
            <w:vAlign w:val="center"/>
          </w:tcPr>
          <w:p w14:paraId="6D91B88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1A9B76B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78EC6AC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56</w:t>
            </w:r>
          </w:p>
        </w:tc>
        <w:tc>
          <w:tcPr>
            <w:tcW w:w="509" w:type="dxa"/>
            <w:shd w:val="clear" w:color="auto" w:fill="auto"/>
            <w:vAlign w:val="center"/>
          </w:tcPr>
          <w:p w14:paraId="2AD9954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27" w:type="dxa"/>
            <w:shd w:val="clear" w:color="auto" w:fill="auto"/>
            <w:vAlign w:val="center"/>
          </w:tcPr>
          <w:p w14:paraId="3CEFCCB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14A6C9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40" w:type="dxa"/>
            <w:shd w:val="clear" w:color="auto" w:fill="auto"/>
            <w:vAlign w:val="center"/>
          </w:tcPr>
          <w:p w14:paraId="472446A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06F768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190B5BB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4785257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4F1F26B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2C3A4FF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600" w:type="dxa"/>
            <w:vAlign w:val="center"/>
          </w:tcPr>
          <w:p w14:paraId="7DF4FB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B4E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7827DBA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EAD014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61A126B">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01" w:type="dxa"/>
            <w:shd w:val="clear" w:color="auto" w:fill="auto"/>
            <w:vAlign w:val="center"/>
          </w:tcPr>
          <w:p w14:paraId="1298291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080304Z</w:t>
            </w:r>
          </w:p>
        </w:tc>
        <w:tc>
          <w:tcPr>
            <w:tcW w:w="2322" w:type="dxa"/>
            <w:shd w:val="clear" w:color="auto" w:fill="auto"/>
            <w:vAlign w:val="center"/>
          </w:tcPr>
          <w:p w14:paraId="07AF127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幼儿绘画</w:t>
            </w:r>
          </w:p>
        </w:tc>
        <w:tc>
          <w:tcPr>
            <w:tcW w:w="437" w:type="dxa"/>
            <w:shd w:val="clear" w:color="auto" w:fill="auto"/>
            <w:vAlign w:val="center"/>
          </w:tcPr>
          <w:p w14:paraId="6318D73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2D2D93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1ED8FD7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465E4F9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7" w:type="dxa"/>
            <w:shd w:val="clear" w:color="auto" w:fill="auto"/>
            <w:vAlign w:val="center"/>
          </w:tcPr>
          <w:p w14:paraId="3F59697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3A2223B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40" w:type="dxa"/>
            <w:shd w:val="clear" w:color="auto" w:fill="auto"/>
            <w:vAlign w:val="center"/>
          </w:tcPr>
          <w:p w14:paraId="368BD7A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4ECB16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4C4BF6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3AE6207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0286A46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42FF7DF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③</w:t>
            </w:r>
          </w:p>
        </w:tc>
        <w:tc>
          <w:tcPr>
            <w:tcW w:w="600" w:type="dxa"/>
            <w:vAlign w:val="center"/>
          </w:tcPr>
          <w:p w14:paraId="585ECB5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70E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190B86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76BB58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5A87B32D">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01" w:type="dxa"/>
            <w:shd w:val="clear" w:color="auto" w:fill="auto"/>
            <w:vAlign w:val="center"/>
          </w:tcPr>
          <w:p w14:paraId="38B8C6F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080305Z</w:t>
            </w:r>
          </w:p>
        </w:tc>
        <w:tc>
          <w:tcPr>
            <w:tcW w:w="2322" w:type="dxa"/>
            <w:shd w:val="clear" w:color="auto" w:fill="auto"/>
            <w:vAlign w:val="center"/>
          </w:tcPr>
          <w:p w14:paraId="2AC2728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幼儿舞蹈</w:t>
            </w:r>
          </w:p>
        </w:tc>
        <w:tc>
          <w:tcPr>
            <w:tcW w:w="437" w:type="dxa"/>
            <w:shd w:val="clear" w:color="auto" w:fill="auto"/>
            <w:vAlign w:val="center"/>
          </w:tcPr>
          <w:p w14:paraId="376885F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186692B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551551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w:t>
            </w:r>
          </w:p>
        </w:tc>
        <w:tc>
          <w:tcPr>
            <w:tcW w:w="509" w:type="dxa"/>
            <w:shd w:val="clear" w:color="auto" w:fill="auto"/>
            <w:vAlign w:val="center"/>
          </w:tcPr>
          <w:p w14:paraId="2B198A4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44</w:t>
            </w:r>
          </w:p>
        </w:tc>
        <w:tc>
          <w:tcPr>
            <w:tcW w:w="427" w:type="dxa"/>
            <w:shd w:val="clear" w:color="auto" w:fill="auto"/>
            <w:vAlign w:val="center"/>
          </w:tcPr>
          <w:p w14:paraId="52D5A3B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21B1B72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572EE16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0" w:type="dxa"/>
            <w:shd w:val="clear" w:color="auto" w:fill="auto"/>
            <w:vAlign w:val="center"/>
          </w:tcPr>
          <w:p w14:paraId="5020206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2" w:type="dxa"/>
            <w:shd w:val="clear" w:color="auto" w:fill="auto"/>
            <w:vAlign w:val="center"/>
          </w:tcPr>
          <w:p w14:paraId="6FF3016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7EA9885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58AA75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6715999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Align w:val="center"/>
          </w:tcPr>
          <w:p w14:paraId="17CA182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698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44FE4B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8A1B93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1F751E0">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901" w:type="dxa"/>
            <w:shd w:val="clear" w:color="auto" w:fill="auto"/>
            <w:vAlign w:val="center"/>
          </w:tcPr>
          <w:p w14:paraId="537FCA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080306Z</w:t>
            </w:r>
          </w:p>
        </w:tc>
        <w:tc>
          <w:tcPr>
            <w:tcW w:w="2322" w:type="dxa"/>
            <w:shd w:val="clear" w:color="auto" w:fill="auto"/>
            <w:vAlign w:val="center"/>
          </w:tcPr>
          <w:p w14:paraId="55783A8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钢琴</w:t>
            </w:r>
          </w:p>
        </w:tc>
        <w:tc>
          <w:tcPr>
            <w:tcW w:w="437" w:type="dxa"/>
            <w:shd w:val="clear" w:color="auto" w:fill="auto"/>
            <w:vAlign w:val="center"/>
          </w:tcPr>
          <w:p w14:paraId="0493AFA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846E34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6CD9E9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0BE024D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shd w:val="clear" w:color="auto" w:fill="auto"/>
            <w:vAlign w:val="center"/>
          </w:tcPr>
          <w:p w14:paraId="41CE7E8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14200D5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35FE3CC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00C3B5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2" w:type="dxa"/>
            <w:shd w:val="clear" w:color="auto" w:fill="auto"/>
            <w:vAlign w:val="center"/>
          </w:tcPr>
          <w:p w14:paraId="2C4B0E9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62" w:type="dxa"/>
            <w:shd w:val="clear" w:color="auto" w:fill="auto"/>
            <w:vAlign w:val="center"/>
          </w:tcPr>
          <w:p w14:paraId="121965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9524D4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2E09F04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Align w:val="center"/>
          </w:tcPr>
          <w:p w14:paraId="189714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776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13986D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C261F4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C21A5E8">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7</w:t>
            </w:r>
          </w:p>
        </w:tc>
        <w:tc>
          <w:tcPr>
            <w:tcW w:w="901" w:type="dxa"/>
            <w:shd w:val="clear" w:color="auto" w:fill="auto"/>
            <w:vAlign w:val="center"/>
          </w:tcPr>
          <w:p w14:paraId="3B9C1E3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080307Z</w:t>
            </w:r>
          </w:p>
        </w:tc>
        <w:tc>
          <w:tcPr>
            <w:tcW w:w="2322" w:type="dxa"/>
            <w:shd w:val="clear" w:color="auto" w:fill="auto"/>
            <w:vAlign w:val="center"/>
          </w:tcPr>
          <w:p w14:paraId="7612793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幼儿园教师艺术技能</w:t>
            </w:r>
          </w:p>
        </w:tc>
        <w:tc>
          <w:tcPr>
            <w:tcW w:w="437" w:type="dxa"/>
            <w:shd w:val="clear" w:color="auto" w:fill="auto"/>
            <w:vAlign w:val="center"/>
          </w:tcPr>
          <w:p w14:paraId="6875207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00D538B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3D2DFAA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24</w:t>
            </w:r>
          </w:p>
        </w:tc>
        <w:tc>
          <w:tcPr>
            <w:tcW w:w="509" w:type="dxa"/>
            <w:shd w:val="clear" w:color="auto" w:fill="auto"/>
            <w:vAlign w:val="center"/>
          </w:tcPr>
          <w:p w14:paraId="204C1B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27" w:type="dxa"/>
            <w:shd w:val="clear" w:color="auto" w:fill="auto"/>
            <w:vAlign w:val="center"/>
          </w:tcPr>
          <w:p w14:paraId="622CCEC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1BC98A2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00C2C33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A2693B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089B3C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62" w:type="dxa"/>
            <w:shd w:val="clear" w:color="auto" w:fill="auto"/>
            <w:vAlign w:val="center"/>
          </w:tcPr>
          <w:p w14:paraId="6DC5B03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44E709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5929FE4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⑦</w:t>
            </w:r>
          </w:p>
        </w:tc>
        <w:tc>
          <w:tcPr>
            <w:tcW w:w="600" w:type="dxa"/>
            <w:vAlign w:val="center"/>
          </w:tcPr>
          <w:p w14:paraId="20D2200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931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53F9D3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BEC28C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9B03465">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p>
        </w:tc>
        <w:tc>
          <w:tcPr>
            <w:tcW w:w="901" w:type="dxa"/>
            <w:shd w:val="clear" w:color="auto" w:fill="auto"/>
            <w:vAlign w:val="center"/>
          </w:tcPr>
          <w:p w14:paraId="342336E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080308Z</w:t>
            </w:r>
          </w:p>
        </w:tc>
        <w:tc>
          <w:tcPr>
            <w:tcW w:w="2322" w:type="dxa"/>
            <w:shd w:val="clear" w:color="auto" w:fill="auto"/>
            <w:vAlign w:val="center"/>
          </w:tcPr>
          <w:p w14:paraId="41DBF47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幼儿教师职业道德与施教能力</w:t>
            </w:r>
          </w:p>
        </w:tc>
        <w:tc>
          <w:tcPr>
            <w:tcW w:w="437" w:type="dxa"/>
            <w:shd w:val="clear" w:color="auto" w:fill="auto"/>
            <w:vAlign w:val="center"/>
          </w:tcPr>
          <w:p w14:paraId="7C0A4BF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72EB7D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573" w:type="dxa"/>
            <w:shd w:val="clear" w:color="auto" w:fill="auto"/>
            <w:vAlign w:val="center"/>
          </w:tcPr>
          <w:p w14:paraId="3C4D528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09" w:type="dxa"/>
            <w:shd w:val="clear" w:color="auto" w:fill="auto"/>
            <w:vAlign w:val="center"/>
          </w:tcPr>
          <w:p w14:paraId="5AF92510">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427" w:type="dxa"/>
            <w:shd w:val="clear" w:color="auto" w:fill="auto"/>
            <w:vAlign w:val="center"/>
          </w:tcPr>
          <w:p w14:paraId="022930C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w:t>
            </w:r>
          </w:p>
        </w:tc>
        <w:tc>
          <w:tcPr>
            <w:tcW w:w="437" w:type="dxa"/>
            <w:shd w:val="clear" w:color="auto" w:fill="auto"/>
            <w:vAlign w:val="center"/>
          </w:tcPr>
          <w:p w14:paraId="171D3F57">
            <w:pPr>
              <w:pageBreakBefore w:val="0"/>
              <w:widowControl/>
              <w:kinsoku/>
              <w:wordWrap/>
              <w:overflowPunct/>
              <w:topLinePunct w:val="0"/>
              <w:bidi w:val="0"/>
              <w:spacing w:line="360" w:lineRule="exact"/>
              <w:jc w:val="center"/>
              <w:rPr>
                <w:rFonts w:ascii="宋体" w:hAnsi="宋体" w:cs="宋体"/>
                <w:kern w:val="0"/>
                <w:sz w:val="18"/>
                <w:szCs w:val="18"/>
              </w:rPr>
            </w:pPr>
          </w:p>
        </w:tc>
        <w:tc>
          <w:tcPr>
            <w:tcW w:w="440" w:type="dxa"/>
            <w:shd w:val="clear" w:color="auto" w:fill="auto"/>
            <w:vAlign w:val="center"/>
          </w:tcPr>
          <w:p w14:paraId="725D93BA">
            <w:pPr>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3747D641">
            <w:pPr>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7AD7051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462" w:type="dxa"/>
            <w:shd w:val="clear" w:color="auto" w:fill="auto"/>
            <w:vAlign w:val="center"/>
          </w:tcPr>
          <w:p w14:paraId="7C2D1BD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0FEB554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3AD7B4D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④⑧</w:t>
            </w:r>
          </w:p>
        </w:tc>
        <w:tc>
          <w:tcPr>
            <w:tcW w:w="600" w:type="dxa"/>
            <w:vAlign w:val="center"/>
          </w:tcPr>
          <w:p w14:paraId="354BDA5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bookmarkEnd w:id="34"/>
      <w:tr w14:paraId="4C7E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0A03AB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35" w:name="OLE_LINK17" w:colFirst="5" w:colLast="12"/>
          </w:p>
        </w:tc>
        <w:tc>
          <w:tcPr>
            <w:tcW w:w="419" w:type="dxa"/>
            <w:vMerge w:val="continue"/>
            <w:vAlign w:val="center"/>
          </w:tcPr>
          <w:p w14:paraId="5FB7B67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1B798F9B">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322" w:type="dxa"/>
            <w:vAlign w:val="center"/>
          </w:tcPr>
          <w:p w14:paraId="2DE78CE2">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共8门</w:t>
            </w:r>
          </w:p>
        </w:tc>
        <w:tc>
          <w:tcPr>
            <w:tcW w:w="437" w:type="dxa"/>
            <w:vAlign w:val="center"/>
          </w:tcPr>
          <w:p w14:paraId="42D78B2D">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shd w:val="clear" w:color="auto" w:fill="auto"/>
            <w:vAlign w:val="center"/>
          </w:tcPr>
          <w:p w14:paraId="2CF633D3">
            <w:pPr>
              <w:pageBreakBefore w:val="0"/>
              <w:widowControl/>
              <w:kinsoku/>
              <w:wordWrap/>
              <w:overflowPunct/>
              <w:topLinePunct w:val="0"/>
              <w:bidi w:val="0"/>
              <w:spacing w:line="360" w:lineRule="exact"/>
              <w:jc w:val="right"/>
              <w:textAlignment w:val="center"/>
              <w:rPr>
                <w:rFonts w:ascii="宋体" w:hAnsi="宋体" w:cs="宋体"/>
                <w:b/>
                <w:bCs/>
                <w:kern w:val="0"/>
                <w:sz w:val="13"/>
                <w:szCs w:val="13"/>
              </w:rPr>
            </w:pPr>
            <w:r>
              <w:rPr>
                <w:rFonts w:hint="eastAsia" w:ascii="宋体" w:hAnsi="宋体" w:cs="宋体"/>
                <w:b/>
                <w:bCs/>
                <w:kern w:val="0"/>
                <w:sz w:val="18"/>
                <w:szCs w:val="18"/>
                <w:lang w:bidi="ar"/>
              </w:rPr>
              <w:t>384</w:t>
            </w:r>
          </w:p>
        </w:tc>
        <w:tc>
          <w:tcPr>
            <w:tcW w:w="573" w:type="dxa"/>
            <w:shd w:val="clear" w:color="auto" w:fill="auto"/>
            <w:vAlign w:val="center"/>
          </w:tcPr>
          <w:p w14:paraId="7824CC24">
            <w:pPr>
              <w:pageBreakBefore w:val="0"/>
              <w:widowControl/>
              <w:kinsoku/>
              <w:wordWrap/>
              <w:overflowPunct/>
              <w:topLinePunct w:val="0"/>
              <w:bidi w:val="0"/>
              <w:spacing w:line="360" w:lineRule="exact"/>
              <w:jc w:val="right"/>
              <w:textAlignment w:val="center"/>
              <w:rPr>
                <w:rFonts w:ascii="宋体" w:hAnsi="宋体" w:cs="宋体"/>
                <w:b/>
                <w:bCs/>
                <w:kern w:val="0"/>
                <w:sz w:val="13"/>
                <w:szCs w:val="13"/>
              </w:rPr>
            </w:pPr>
            <w:r>
              <w:rPr>
                <w:rFonts w:hint="eastAsia" w:ascii="宋体" w:hAnsi="宋体" w:cs="宋体"/>
                <w:b/>
                <w:bCs/>
                <w:kern w:val="0"/>
                <w:sz w:val="18"/>
                <w:szCs w:val="18"/>
                <w:lang w:bidi="ar"/>
              </w:rPr>
              <w:t>228</w:t>
            </w:r>
          </w:p>
        </w:tc>
        <w:tc>
          <w:tcPr>
            <w:tcW w:w="509" w:type="dxa"/>
            <w:shd w:val="clear" w:color="auto" w:fill="auto"/>
            <w:vAlign w:val="center"/>
          </w:tcPr>
          <w:p w14:paraId="1D77469E">
            <w:pPr>
              <w:pageBreakBefore w:val="0"/>
              <w:widowControl/>
              <w:kinsoku/>
              <w:wordWrap/>
              <w:overflowPunct/>
              <w:topLinePunct w:val="0"/>
              <w:bidi w:val="0"/>
              <w:spacing w:line="360" w:lineRule="exact"/>
              <w:jc w:val="right"/>
              <w:textAlignment w:val="center"/>
              <w:rPr>
                <w:rFonts w:ascii="宋体" w:hAnsi="宋体" w:cs="宋体"/>
                <w:b/>
                <w:bCs/>
                <w:kern w:val="0"/>
                <w:sz w:val="13"/>
                <w:szCs w:val="13"/>
              </w:rPr>
            </w:pPr>
            <w:r>
              <w:rPr>
                <w:rFonts w:hint="eastAsia" w:ascii="宋体" w:hAnsi="宋体" w:cs="宋体"/>
                <w:b/>
                <w:bCs/>
                <w:kern w:val="0"/>
                <w:sz w:val="18"/>
                <w:szCs w:val="18"/>
                <w:lang w:bidi="ar"/>
              </w:rPr>
              <w:t>156</w:t>
            </w:r>
          </w:p>
        </w:tc>
        <w:tc>
          <w:tcPr>
            <w:tcW w:w="427" w:type="dxa"/>
            <w:shd w:val="clear" w:color="auto" w:fill="auto"/>
            <w:vAlign w:val="center"/>
          </w:tcPr>
          <w:p w14:paraId="76B08EE2">
            <w:pPr>
              <w:pageBreakBefore w:val="0"/>
              <w:widowControl/>
              <w:kinsoku/>
              <w:wordWrap/>
              <w:overflowPunct/>
              <w:topLinePunct w:val="0"/>
              <w:bidi w:val="0"/>
              <w:spacing w:line="360" w:lineRule="exact"/>
              <w:jc w:val="right"/>
              <w:textAlignment w:val="center"/>
              <w:rPr>
                <w:rFonts w:ascii="宋体" w:hAnsi="宋体" w:cs="宋体"/>
                <w:b/>
                <w:bCs/>
                <w:kern w:val="0"/>
                <w:sz w:val="13"/>
                <w:szCs w:val="13"/>
              </w:rPr>
            </w:pPr>
            <w:r>
              <w:rPr>
                <w:rFonts w:hint="eastAsia" w:ascii="宋体" w:hAnsi="宋体" w:cs="宋体"/>
                <w:b/>
                <w:bCs/>
                <w:kern w:val="0"/>
                <w:sz w:val="18"/>
                <w:szCs w:val="18"/>
                <w:lang w:bidi="ar"/>
              </w:rPr>
              <w:t>24</w:t>
            </w:r>
          </w:p>
        </w:tc>
        <w:tc>
          <w:tcPr>
            <w:tcW w:w="437" w:type="dxa"/>
            <w:shd w:val="clear" w:color="auto" w:fill="auto"/>
            <w:vAlign w:val="center"/>
          </w:tcPr>
          <w:p w14:paraId="65D5655A">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128</w:t>
            </w:r>
          </w:p>
        </w:tc>
        <w:tc>
          <w:tcPr>
            <w:tcW w:w="440" w:type="dxa"/>
            <w:shd w:val="clear" w:color="auto" w:fill="auto"/>
            <w:vAlign w:val="center"/>
          </w:tcPr>
          <w:p w14:paraId="11B41D3B">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64</w:t>
            </w:r>
          </w:p>
        </w:tc>
        <w:tc>
          <w:tcPr>
            <w:tcW w:w="450" w:type="dxa"/>
            <w:shd w:val="clear" w:color="auto" w:fill="auto"/>
            <w:vAlign w:val="center"/>
          </w:tcPr>
          <w:p w14:paraId="76CA8F4D">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64</w:t>
            </w:r>
          </w:p>
        </w:tc>
        <w:tc>
          <w:tcPr>
            <w:tcW w:w="452" w:type="dxa"/>
            <w:shd w:val="clear" w:color="auto" w:fill="auto"/>
            <w:vAlign w:val="center"/>
          </w:tcPr>
          <w:p w14:paraId="1C32954B">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128</w:t>
            </w:r>
          </w:p>
        </w:tc>
        <w:tc>
          <w:tcPr>
            <w:tcW w:w="462" w:type="dxa"/>
            <w:shd w:val="clear" w:color="auto" w:fill="auto"/>
            <w:vAlign w:val="center"/>
          </w:tcPr>
          <w:p w14:paraId="12741393">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50" w:type="dxa"/>
            <w:shd w:val="clear" w:color="auto" w:fill="auto"/>
            <w:vAlign w:val="center"/>
          </w:tcPr>
          <w:p w14:paraId="0BB28ED0">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74" w:type="dxa"/>
            <w:vAlign w:val="center"/>
          </w:tcPr>
          <w:p w14:paraId="7CEE924D">
            <w:pPr>
              <w:pageBreakBefore w:val="0"/>
              <w:widowControl/>
              <w:kinsoku/>
              <w:wordWrap/>
              <w:overflowPunct/>
              <w:topLinePunct w:val="0"/>
              <w:bidi w:val="0"/>
              <w:spacing w:line="360" w:lineRule="exact"/>
              <w:jc w:val="center"/>
              <w:rPr>
                <w:rFonts w:ascii="宋体" w:hAnsi="宋体" w:cs="宋体"/>
                <w:b/>
                <w:bCs/>
                <w:color w:val="0000FF"/>
                <w:kern w:val="0"/>
                <w:sz w:val="18"/>
                <w:szCs w:val="18"/>
              </w:rPr>
            </w:pPr>
          </w:p>
        </w:tc>
        <w:tc>
          <w:tcPr>
            <w:tcW w:w="600" w:type="dxa"/>
            <w:vAlign w:val="center"/>
          </w:tcPr>
          <w:p w14:paraId="132E0C6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bookmarkEnd w:id="35"/>
      <w:tr w14:paraId="47B1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4AA0639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36" w:name="OLE_LINK23" w:colFirst="6" w:colLast="13"/>
          </w:p>
        </w:tc>
        <w:tc>
          <w:tcPr>
            <w:tcW w:w="419" w:type="dxa"/>
            <w:vMerge w:val="restart"/>
            <w:vAlign w:val="center"/>
          </w:tcPr>
          <w:p w14:paraId="5705404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p>
        </w:tc>
        <w:tc>
          <w:tcPr>
            <w:tcW w:w="396" w:type="dxa"/>
            <w:vAlign w:val="center"/>
          </w:tcPr>
          <w:p w14:paraId="61D56E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shd w:val="clear" w:color="auto" w:fill="auto"/>
            <w:vAlign w:val="center"/>
          </w:tcPr>
          <w:p w14:paraId="13AF509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080309Z</w:t>
            </w:r>
          </w:p>
        </w:tc>
        <w:tc>
          <w:tcPr>
            <w:tcW w:w="2322" w:type="dxa"/>
            <w:shd w:val="clear" w:color="auto" w:fill="auto"/>
            <w:vAlign w:val="center"/>
          </w:tcPr>
          <w:p w14:paraId="2B2E071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幼儿园教育活动设计与实施</w:t>
            </w:r>
          </w:p>
        </w:tc>
        <w:tc>
          <w:tcPr>
            <w:tcW w:w="437" w:type="dxa"/>
            <w:shd w:val="clear" w:color="auto" w:fill="auto"/>
            <w:vAlign w:val="center"/>
          </w:tcPr>
          <w:p w14:paraId="72F5997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F9F3C1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09101B8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4AFF0CF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shd w:val="clear" w:color="auto" w:fill="auto"/>
            <w:vAlign w:val="center"/>
          </w:tcPr>
          <w:p w14:paraId="7B284D9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2F084E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0CFA588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BFE1D0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738F1C6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1C0CD56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CBBA2A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461884B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⑦</w:t>
            </w:r>
          </w:p>
        </w:tc>
        <w:tc>
          <w:tcPr>
            <w:tcW w:w="600" w:type="dxa"/>
            <w:vAlign w:val="center"/>
          </w:tcPr>
          <w:p w14:paraId="270C0B9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210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50" w:type="dxa"/>
            <w:vMerge w:val="continue"/>
            <w:vAlign w:val="center"/>
          </w:tcPr>
          <w:p w14:paraId="2ACD50B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FC1B52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8418DF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141A2BE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080310Z</w:t>
            </w:r>
          </w:p>
        </w:tc>
        <w:tc>
          <w:tcPr>
            <w:tcW w:w="2322" w:type="dxa"/>
            <w:shd w:val="clear" w:color="auto" w:fill="auto"/>
            <w:vAlign w:val="center"/>
          </w:tcPr>
          <w:p w14:paraId="7E2E3F6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幼儿园课程</w:t>
            </w:r>
          </w:p>
        </w:tc>
        <w:tc>
          <w:tcPr>
            <w:tcW w:w="437" w:type="dxa"/>
            <w:shd w:val="clear" w:color="auto" w:fill="auto"/>
            <w:vAlign w:val="center"/>
          </w:tcPr>
          <w:p w14:paraId="0ED51E6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192BBC1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4E7B976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65E62E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shd w:val="clear" w:color="auto" w:fill="auto"/>
            <w:vAlign w:val="center"/>
          </w:tcPr>
          <w:p w14:paraId="6B1C16B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2E963D2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7B45965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3E0B722">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452" w:type="dxa"/>
            <w:shd w:val="clear" w:color="auto" w:fill="auto"/>
            <w:vAlign w:val="center"/>
          </w:tcPr>
          <w:p w14:paraId="3E1922D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4BCB2C8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E470B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2FD6F51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Align w:val="center"/>
          </w:tcPr>
          <w:p w14:paraId="4C753BE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1B2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21AE5E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1A5FC6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80253A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901" w:type="dxa"/>
            <w:shd w:val="clear" w:color="auto" w:fill="auto"/>
            <w:vAlign w:val="center"/>
          </w:tcPr>
          <w:p w14:paraId="1D369DF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080311Z</w:t>
            </w:r>
          </w:p>
        </w:tc>
        <w:tc>
          <w:tcPr>
            <w:tcW w:w="2322" w:type="dxa"/>
            <w:shd w:val="clear" w:color="auto" w:fill="auto"/>
            <w:vAlign w:val="center"/>
          </w:tcPr>
          <w:p w14:paraId="67A59D8A">
            <w:pPr>
              <w:pageBreakBefore w:val="0"/>
              <w:widowControl/>
              <w:kinsoku/>
              <w:wordWrap/>
              <w:overflowPunct/>
              <w:topLinePunct w:val="0"/>
              <w:bidi w:val="0"/>
              <w:spacing w:line="360" w:lineRule="exact"/>
              <w:jc w:val="center"/>
              <w:rPr>
                <w:rFonts w:ascii="宋体" w:hAnsi="宋体" w:cs="宋体"/>
                <w:kern w:val="0"/>
                <w:sz w:val="18"/>
                <w:szCs w:val="18"/>
              </w:rPr>
            </w:pPr>
            <w:bookmarkStart w:id="37" w:name="OLE_LINK3"/>
            <w:r>
              <w:rPr>
                <w:rFonts w:hint="eastAsia" w:ascii="宋体" w:hAnsi="宋体" w:cs="宋体"/>
                <w:kern w:val="0"/>
                <w:sz w:val="18"/>
                <w:szCs w:val="18"/>
              </w:rPr>
              <w:t>幼儿园环境创设</w:t>
            </w:r>
            <w:bookmarkEnd w:id="37"/>
          </w:p>
        </w:tc>
        <w:tc>
          <w:tcPr>
            <w:tcW w:w="437" w:type="dxa"/>
            <w:shd w:val="clear" w:color="auto" w:fill="auto"/>
            <w:vAlign w:val="center"/>
          </w:tcPr>
          <w:p w14:paraId="7C8130D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7FB99ED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1943CD9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1BF8B40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shd w:val="clear" w:color="auto" w:fill="auto"/>
            <w:vAlign w:val="center"/>
          </w:tcPr>
          <w:p w14:paraId="51BDECF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6E2818E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522D2FD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5B0CF5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11F31F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62" w:type="dxa"/>
            <w:shd w:val="clear" w:color="auto" w:fill="auto"/>
            <w:vAlign w:val="center"/>
          </w:tcPr>
          <w:p w14:paraId="552A45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4B99EFC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27EF9D9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⑦</w:t>
            </w:r>
          </w:p>
        </w:tc>
        <w:tc>
          <w:tcPr>
            <w:tcW w:w="600" w:type="dxa"/>
            <w:vAlign w:val="center"/>
          </w:tcPr>
          <w:p w14:paraId="2391AA7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75D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05D779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93B895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03A1F4E">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01" w:type="dxa"/>
            <w:shd w:val="clear" w:color="auto" w:fill="auto"/>
            <w:vAlign w:val="center"/>
          </w:tcPr>
          <w:p w14:paraId="6E3F7EC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080312Z</w:t>
            </w:r>
          </w:p>
        </w:tc>
        <w:tc>
          <w:tcPr>
            <w:tcW w:w="2322" w:type="dxa"/>
            <w:shd w:val="clear" w:color="auto" w:fill="auto"/>
            <w:vAlign w:val="center"/>
          </w:tcPr>
          <w:p w14:paraId="0E806456">
            <w:pPr>
              <w:pageBreakBefore w:val="0"/>
              <w:widowControl/>
              <w:kinsoku/>
              <w:wordWrap/>
              <w:overflowPunct/>
              <w:topLinePunct w:val="0"/>
              <w:bidi w:val="0"/>
              <w:spacing w:line="360" w:lineRule="exact"/>
              <w:jc w:val="center"/>
              <w:rPr>
                <w:rFonts w:ascii="宋体" w:hAnsi="宋体" w:cs="宋体"/>
                <w:kern w:val="0"/>
                <w:sz w:val="18"/>
                <w:szCs w:val="18"/>
              </w:rPr>
            </w:pPr>
            <w:bookmarkStart w:id="38" w:name="OLE_LINK6"/>
            <w:r>
              <w:rPr>
                <w:rFonts w:hint="eastAsia" w:ascii="宋体" w:hAnsi="宋体" w:cs="宋体"/>
                <w:kern w:val="0"/>
                <w:sz w:val="18"/>
                <w:szCs w:val="18"/>
              </w:rPr>
              <w:t>幼儿园班级管理</w:t>
            </w:r>
            <w:bookmarkEnd w:id="38"/>
          </w:p>
        </w:tc>
        <w:tc>
          <w:tcPr>
            <w:tcW w:w="437" w:type="dxa"/>
            <w:shd w:val="clear" w:color="auto" w:fill="auto"/>
            <w:vAlign w:val="center"/>
          </w:tcPr>
          <w:p w14:paraId="71AF4BA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0AF54C3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1ECDC5E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6700063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shd w:val="clear" w:color="auto" w:fill="auto"/>
            <w:vAlign w:val="center"/>
          </w:tcPr>
          <w:p w14:paraId="51C7AC4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39AEFA5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173241F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9B777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5B2DB95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436F092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888BC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3112CAB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⑦</w:t>
            </w:r>
          </w:p>
        </w:tc>
        <w:tc>
          <w:tcPr>
            <w:tcW w:w="600" w:type="dxa"/>
            <w:vAlign w:val="center"/>
          </w:tcPr>
          <w:p w14:paraId="04B15FD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085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AA825E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4865A1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152EB29B">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01" w:type="dxa"/>
            <w:shd w:val="clear" w:color="auto" w:fill="auto"/>
            <w:vAlign w:val="center"/>
          </w:tcPr>
          <w:p w14:paraId="40243A4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080313Z</w:t>
            </w:r>
          </w:p>
        </w:tc>
        <w:tc>
          <w:tcPr>
            <w:tcW w:w="2322" w:type="dxa"/>
            <w:shd w:val="clear" w:color="auto" w:fill="auto"/>
            <w:vAlign w:val="center"/>
          </w:tcPr>
          <w:p w14:paraId="5E3358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幼儿行为观察与评价</w:t>
            </w:r>
          </w:p>
        </w:tc>
        <w:tc>
          <w:tcPr>
            <w:tcW w:w="437" w:type="dxa"/>
            <w:shd w:val="clear" w:color="auto" w:fill="auto"/>
            <w:vAlign w:val="center"/>
          </w:tcPr>
          <w:p w14:paraId="1B921DD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07A7E3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6E8FE1E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7BFF775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shd w:val="clear" w:color="auto" w:fill="auto"/>
            <w:vAlign w:val="center"/>
          </w:tcPr>
          <w:p w14:paraId="4CBE275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3F47EFB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7C37D44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BD27E6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5D789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62" w:type="dxa"/>
            <w:shd w:val="clear" w:color="auto" w:fill="auto"/>
            <w:vAlign w:val="center"/>
          </w:tcPr>
          <w:p w14:paraId="2361260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3F68EA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1103DE3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⑦</w:t>
            </w:r>
          </w:p>
        </w:tc>
        <w:tc>
          <w:tcPr>
            <w:tcW w:w="600" w:type="dxa"/>
            <w:vAlign w:val="center"/>
          </w:tcPr>
          <w:p w14:paraId="5A0E4E3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4B9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EC9360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3C4F0C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6FFF151">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901" w:type="dxa"/>
            <w:shd w:val="clear" w:color="auto" w:fill="auto"/>
            <w:vAlign w:val="center"/>
          </w:tcPr>
          <w:p w14:paraId="0FB3961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080314Z</w:t>
            </w:r>
          </w:p>
        </w:tc>
        <w:tc>
          <w:tcPr>
            <w:tcW w:w="2322" w:type="dxa"/>
            <w:shd w:val="clear" w:color="auto" w:fill="auto"/>
            <w:vAlign w:val="center"/>
          </w:tcPr>
          <w:p w14:paraId="02FB30A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幼儿游戏活动指导</w:t>
            </w:r>
          </w:p>
        </w:tc>
        <w:tc>
          <w:tcPr>
            <w:tcW w:w="437" w:type="dxa"/>
            <w:shd w:val="clear" w:color="auto" w:fill="auto"/>
            <w:vAlign w:val="center"/>
          </w:tcPr>
          <w:p w14:paraId="55ED7B6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5BAE868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401F12A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47248EF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shd w:val="clear" w:color="auto" w:fill="auto"/>
            <w:vAlign w:val="center"/>
          </w:tcPr>
          <w:p w14:paraId="5BE1A7B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208DA87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3802369A">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450" w:type="dxa"/>
            <w:shd w:val="clear" w:color="auto" w:fill="auto"/>
            <w:vAlign w:val="center"/>
          </w:tcPr>
          <w:p w14:paraId="1543706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55402C9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6A5B6D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E903C0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436E284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⑦</w:t>
            </w:r>
          </w:p>
        </w:tc>
        <w:tc>
          <w:tcPr>
            <w:tcW w:w="600" w:type="dxa"/>
            <w:vAlign w:val="center"/>
          </w:tcPr>
          <w:p w14:paraId="41435A2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bookmarkEnd w:id="36"/>
      <w:tr w14:paraId="3BEE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CDD874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39" w:name="OLE_LINK18" w:colFirst="5" w:colLast="12"/>
          </w:p>
        </w:tc>
        <w:tc>
          <w:tcPr>
            <w:tcW w:w="419" w:type="dxa"/>
            <w:vMerge w:val="continue"/>
            <w:vAlign w:val="center"/>
          </w:tcPr>
          <w:p w14:paraId="4631E94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17CD4994">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322" w:type="dxa"/>
            <w:vAlign w:val="center"/>
          </w:tcPr>
          <w:p w14:paraId="28DD37CC">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共6门</w:t>
            </w:r>
          </w:p>
        </w:tc>
        <w:tc>
          <w:tcPr>
            <w:tcW w:w="437" w:type="dxa"/>
            <w:vAlign w:val="center"/>
          </w:tcPr>
          <w:p w14:paraId="507F31EE">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shd w:val="clear" w:color="auto" w:fill="auto"/>
            <w:vAlign w:val="center"/>
          </w:tcPr>
          <w:p w14:paraId="555D21FC">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384</w:t>
            </w:r>
          </w:p>
        </w:tc>
        <w:tc>
          <w:tcPr>
            <w:tcW w:w="573" w:type="dxa"/>
            <w:shd w:val="clear" w:color="auto" w:fill="auto"/>
            <w:vAlign w:val="center"/>
          </w:tcPr>
          <w:p w14:paraId="135127CD">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192</w:t>
            </w:r>
          </w:p>
        </w:tc>
        <w:tc>
          <w:tcPr>
            <w:tcW w:w="509" w:type="dxa"/>
            <w:shd w:val="clear" w:color="auto" w:fill="auto"/>
            <w:vAlign w:val="center"/>
          </w:tcPr>
          <w:p w14:paraId="43E535CA">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192</w:t>
            </w:r>
          </w:p>
        </w:tc>
        <w:tc>
          <w:tcPr>
            <w:tcW w:w="427" w:type="dxa"/>
            <w:shd w:val="clear" w:color="auto" w:fill="auto"/>
            <w:vAlign w:val="center"/>
          </w:tcPr>
          <w:p w14:paraId="5DA94D52">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24</w:t>
            </w:r>
          </w:p>
        </w:tc>
        <w:tc>
          <w:tcPr>
            <w:tcW w:w="437" w:type="dxa"/>
            <w:shd w:val="clear" w:color="auto" w:fill="auto"/>
            <w:vAlign w:val="center"/>
          </w:tcPr>
          <w:p w14:paraId="26DB32CF">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40" w:type="dxa"/>
            <w:shd w:val="clear" w:color="auto" w:fill="auto"/>
            <w:vAlign w:val="center"/>
          </w:tcPr>
          <w:p w14:paraId="213ADB23">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64</w:t>
            </w:r>
          </w:p>
        </w:tc>
        <w:tc>
          <w:tcPr>
            <w:tcW w:w="450" w:type="dxa"/>
            <w:shd w:val="clear" w:color="auto" w:fill="auto"/>
            <w:vAlign w:val="center"/>
          </w:tcPr>
          <w:p w14:paraId="29343C26">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192</w:t>
            </w:r>
          </w:p>
        </w:tc>
        <w:tc>
          <w:tcPr>
            <w:tcW w:w="452" w:type="dxa"/>
            <w:shd w:val="clear" w:color="auto" w:fill="auto"/>
            <w:vAlign w:val="center"/>
          </w:tcPr>
          <w:p w14:paraId="332EBA09">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128</w:t>
            </w:r>
          </w:p>
        </w:tc>
        <w:tc>
          <w:tcPr>
            <w:tcW w:w="462" w:type="dxa"/>
            <w:shd w:val="clear" w:color="auto" w:fill="auto"/>
            <w:vAlign w:val="center"/>
          </w:tcPr>
          <w:p w14:paraId="5488FD3E">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50" w:type="dxa"/>
            <w:shd w:val="clear" w:color="auto" w:fill="auto"/>
            <w:vAlign w:val="center"/>
          </w:tcPr>
          <w:p w14:paraId="25BD8FEF">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74" w:type="dxa"/>
            <w:vAlign w:val="center"/>
          </w:tcPr>
          <w:p w14:paraId="3C88EEDF">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Align w:val="center"/>
          </w:tcPr>
          <w:p w14:paraId="7AE4264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bookmarkEnd w:id="39"/>
      <w:tr w14:paraId="6297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2CF6720B">
            <w:pPr>
              <w:pageBreakBefore w:val="0"/>
              <w:kinsoku/>
              <w:wordWrap/>
              <w:overflowPunct/>
              <w:topLinePunct w:val="0"/>
              <w:bidi w:val="0"/>
              <w:spacing w:line="360" w:lineRule="exact"/>
              <w:jc w:val="left"/>
            </w:pPr>
          </w:p>
          <w:p w14:paraId="0AD89E4C">
            <w:pPr>
              <w:pStyle w:val="2"/>
              <w:pageBreakBefore w:val="0"/>
              <w:kinsoku/>
              <w:wordWrap/>
              <w:overflowPunct/>
              <w:topLinePunct w:val="0"/>
              <w:bidi w:val="0"/>
              <w:spacing w:after="0" w:line="360" w:lineRule="exact"/>
            </w:pPr>
          </w:p>
        </w:tc>
        <w:tc>
          <w:tcPr>
            <w:tcW w:w="419" w:type="dxa"/>
            <w:vMerge w:val="restart"/>
            <w:vAlign w:val="center"/>
          </w:tcPr>
          <w:p w14:paraId="7B9366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tc>
        <w:tc>
          <w:tcPr>
            <w:tcW w:w="396" w:type="dxa"/>
            <w:vAlign w:val="center"/>
          </w:tcPr>
          <w:p w14:paraId="17EF3F7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shd w:val="clear" w:color="auto" w:fill="auto"/>
            <w:vAlign w:val="center"/>
          </w:tcPr>
          <w:p w14:paraId="38694B0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080315Z</w:t>
            </w:r>
          </w:p>
        </w:tc>
        <w:tc>
          <w:tcPr>
            <w:tcW w:w="2322" w:type="dxa"/>
            <w:shd w:val="clear" w:color="auto" w:fill="auto"/>
            <w:vAlign w:val="center"/>
          </w:tcPr>
          <w:p w14:paraId="36A7BE3B">
            <w:pPr>
              <w:pageBreakBefore w:val="0"/>
              <w:widowControl/>
              <w:kinsoku/>
              <w:wordWrap/>
              <w:overflowPunct/>
              <w:topLinePunct w:val="0"/>
              <w:bidi w:val="0"/>
              <w:spacing w:line="360" w:lineRule="exact"/>
              <w:jc w:val="center"/>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少儿体适能训练与指导</w:t>
            </w:r>
          </w:p>
        </w:tc>
        <w:tc>
          <w:tcPr>
            <w:tcW w:w="437" w:type="dxa"/>
            <w:shd w:val="clear" w:color="auto" w:fill="auto"/>
            <w:vAlign w:val="center"/>
          </w:tcPr>
          <w:p w14:paraId="2CE1A0B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A3DAEFE">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73BA8EA4">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06A9EAF1">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5402B68F">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7D2DBD58">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40" w:type="dxa"/>
            <w:shd w:val="clear" w:color="auto" w:fill="auto"/>
            <w:vAlign w:val="center"/>
          </w:tcPr>
          <w:p w14:paraId="0E30A6F5">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04F57CD">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5A909E47">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238C6B8D">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3D981D6">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7242BC4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Merge w:val="restart"/>
            <w:vAlign w:val="center"/>
          </w:tcPr>
          <w:p w14:paraId="08E2742A">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二选一</w:t>
            </w:r>
          </w:p>
        </w:tc>
      </w:tr>
      <w:tr w14:paraId="1C9A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C8F4811">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4F607CF">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81FB56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6977E4F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080316Z</w:t>
            </w:r>
          </w:p>
        </w:tc>
        <w:tc>
          <w:tcPr>
            <w:tcW w:w="2322" w:type="dxa"/>
            <w:shd w:val="clear" w:color="auto" w:fill="auto"/>
            <w:vAlign w:val="center"/>
          </w:tcPr>
          <w:p w14:paraId="27197DA4">
            <w:pPr>
              <w:pageBreakBefore w:val="0"/>
              <w:widowControl/>
              <w:kinsoku/>
              <w:wordWrap/>
              <w:overflowPunct/>
              <w:topLinePunct w:val="0"/>
              <w:bidi w:val="0"/>
              <w:spacing w:line="360" w:lineRule="exact"/>
              <w:jc w:val="center"/>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kern w:val="0"/>
                <w:sz w:val="18"/>
                <w:szCs w:val="18"/>
              </w:rPr>
              <w:t>儿童文学</w:t>
            </w:r>
          </w:p>
        </w:tc>
        <w:tc>
          <w:tcPr>
            <w:tcW w:w="437" w:type="dxa"/>
            <w:shd w:val="clear" w:color="auto" w:fill="auto"/>
            <w:vAlign w:val="center"/>
          </w:tcPr>
          <w:p w14:paraId="7279D3E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50495853">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5BFA03AF">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0AC055D1">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57A06150">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4DAE2DA8">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40" w:type="dxa"/>
            <w:shd w:val="clear" w:color="auto" w:fill="auto"/>
            <w:vAlign w:val="center"/>
          </w:tcPr>
          <w:p w14:paraId="79B9AF41">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B4F19B9">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776161A9">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10C3B2B5">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88BBCA5">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75C71D9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Merge w:val="continue"/>
            <w:vAlign w:val="center"/>
          </w:tcPr>
          <w:p w14:paraId="4892A5B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719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9CC008C">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E97C066">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A19B9E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35DCD7D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080317Z</w:t>
            </w:r>
          </w:p>
        </w:tc>
        <w:tc>
          <w:tcPr>
            <w:tcW w:w="2322" w:type="dxa"/>
            <w:shd w:val="clear" w:color="auto" w:fill="auto"/>
            <w:vAlign w:val="center"/>
          </w:tcPr>
          <w:p w14:paraId="61CD7E0E">
            <w:pPr>
              <w:pageBreakBefore w:val="0"/>
              <w:widowControl/>
              <w:kinsoku/>
              <w:wordWrap/>
              <w:overflowPunct/>
              <w:topLinePunct w:val="0"/>
              <w:bidi w:val="0"/>
              <w:spacing w:line="360" w:lineRule="exact"/>
              <w:jc w:val="center"/>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kern w:val="0"/>
                <w:sz w:val="18"/>
                <w:szCs w:val="18"/>
              </w:rPr>
              <w:t>中外学前教育史</w:t>
            </w:r>
          </w:p>
        </w:tc>
        <w:tc>
          <w:tcPr>
            <w:tcW w:w="437" w:type="dxa"/>
            <w:shd w:val="clear" w:color="auto" w:fill="auto"/>
            <w:vAlign w:val="center"/>
          </w:tcPr>
          <w:p w14:paraId="3F24836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36521B1D">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162F23F3">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7EAEA7EF">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072AA80A">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575EC636">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72CCAE62">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C88F52F">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52" w:type="dxa"/>
            <w:shd w:val="clear" w:color="auto" w:fill="auto"/>
            <w:vAlign w:val="center"/>
          </w:tcPr>
          <w:p w14:paraId="3442B0F2">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398C701D">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E910345">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51068C6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600" w:type="dxa"/>
            <w:vMerge w:val="restart"/>
            <w:vAlign w:val="center"/>
          </w:tcPr>
          <w:p w14:paraId="6354E55E">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二选一</w:t>
            </w:r>
          </w:p>
        </w:tc>
      </w:tr>
      <w:tr w14:paraId="71CD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50" w:type="dxa"/>
            <w:vMerge w:val="continue"/>
            <w:vAlign w:val="center"/>
          </w:tcPr>
          <w:p w14:paraId="7E1F88EB">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40" w:name="OLE_LINK2" w:colFirst="4" w:colLast="16"/>
          </w:p>
        </w:tc>
        <w:tc>
          <w:tcPr>
            <w:tcW w:w="419" w:type="dxa"/>
            <w:vMerge w:val="continue"/>
            <w:vAlign w:val="center"/>
          </w:tcPr>
          <w:p w14:paraId="4D47A735">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0B3779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4C8E948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080318Z</w:t>
            </w:r>
          </w:p>
        </w:tc>
        <w:tc>
          <w:tcPr>
            <w:tcW w:w="2322" w:type="dxa"/>
            <w:shd w:val="clear" w:color="auto" w:fill="auto"/>
            <w:vAlign w:val="center"/>
          </w:tcPr>
          <w:p w14:paraId="302BD6CB">
            <w:pPr>
              <w:pageBreakBefore w:val="0"/>
              <w:widowControl/>
              <w:kinsoku/>
              <w:wordWrap/>
              <w:overflowPunct/>
              <w:topLinePunct w:val="0"/>
              <w:bidi w:val="0"/>
              <w:spacing w:line="360" w:lineRule="exact"/>
              <w:jc w:val="center"/>
              <w:rPr>
                <w:rFonts w:ascii="宋体" w:hAnsi="宋体" w:cs="宋体"/>
                <w:b w:val="0"/>
                <w:bCs w:val="0"/>
                <w:kern w:val="0"/>
                <w:sz w:val="18"/>
                <w:szCs w:val="18"/>
              </w:rPr>
            </w:pPr>
            <w:bookmarkStart w:id="41" w:name="OLE_LINK5"/>
            <w:r>
              <w:rPr>
                <w:rFonts w:hint="eastAsia" w:ascii="宋体" w:hAnsi="宋体" w:cs="宋体"/>
                <w:b w:val="0"/>
                <w:bCs w:val="0"/>
                <w:kern w:val="0"/>
                <w:sz w:val="18"/>
                <w:szCs w:val="18"/>
              </w:rPr>
              <w:t>幼儿园玩教具制作</w:t>
            </w:r>
            <w:bookmarkEnd w:id="41"/>
          </w:p>
        </w:tc>
        <w:tc>
          <w:tcPr>
            <w:tcW w:w="437" w:type="dxa"/>
            <w:shd w:val="clear" w:color="auto" w:fill="auto"/>
            <w:vAlign w:val="center"/>
          </w:tcPr>
          <w:p w14:paraId="53F1392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726EA9D5">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34EDC77E">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509" w:type="dxa"/>
            <w:shd w:val="clear" w:color="auto" w:fill="auto"/>
            <w:vAlign w:val="center"/>
          </w:tcPr>
          <w:p w14:paraId="2214917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427" w:type="dxa"/>
            <w:shd w:val="clear" w:color="auto" w:fill="auto"/>
            <w:vAlign w:val="center"/>
          </w:tcPr>
          <w:p w14:paraId="2A59561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7" w:type="dxa"/>
            <w:shd w:val="clear" w:color="auto" w:fill="auto"/>
            <w:vAlign w:val="center"/>
          </w:tcPr>
          <w:p w14:paraId="6FA8DCE7">
            <w:pPr>
              <w:pageBreakBefore w:val="0"/>
              <w:kinsoku/>
              <w:wordWrap/>
              <w:overflowPunct/>
              <w:topLinePunct w:val="0"/>
              <w:bidi w:val="0"/>
              <w:spacing w:line="360" w:lineRule="exact"/>
              <w:jc w:val="center"/>
              <w:rPr>
                <w:rFonts w:ascii="宋体" w:hAnsi="宋体" w:cs="宋体"/>
                <w:kern w:val="0"/>
                <w:sz w:val="18"/>
                <w:szCs w:val="18"/>
              </w:rPr>
            </w:pPr>
          </w:p>
        </w:tc>
        <w:tc>
          <w:tcPr>
            <w:tcW w:w="440" w:type="dxa"/>
            <w:shd w:val="clear" w:color="auto" w:fill="auto"/>
            <w:vAlign w:val="center"/>
          </w:tcPr>
          <w:p w14:paraId="79BCA289">
            <w:pPr>
              <w:pageBreakBefore w:val="0"/>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0AFFE1E3">
            <w:pPr>
              <w:pageBreakBefore w:val="0"/>
              <w:kinsoku/>
              <w:wordWrap/>
              <w:overflowPunct/>
              <w:topLinePunct w:val="0"/>
              <w:bidi w:val="0"/>
              <w:spacing w:line="360" w:lineRule="exact"/>
              <w:jc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2" w:type="dxa"/>
            <w:shd w:val="clear" w:color="auto" w:fill="auto"/>
            <w:vAlign w:val="center"/>
          </w:tcPr>
          <w:p w14:paraId="473D835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p>
        </w:tc>
        <w:tc>
          <w:tcPr>
            <w:tcW w:w="462" w:type="dxa"/>
            <w:shd w:val="clear" w:color="auto" w:fill="auto"/>
            <w:vAlign w:val="center"/>
          </w:tcPr>
          <w:p w14:paraId="6B16E028">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0F5DF19">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010EB1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600" w:type="dxa"/>
            <w:vMerge w:val="continue"/>
            <w:vAlign w:val="center"/>
          </w:tcPr>
          <w:p w14:paraId="4C389E5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bookmarkEnd w:id="40"/>
      <w:tr w14:paraId="3604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D1BB215">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42" w:name="OLE_LINK13" w:colFirst="7" w:colLast="8"/>
          </w:p>
        </w:tc>
        <w:tc>
          <w:tcPr>
            <w:tcW w:w="419" w:type="dxa"/>
            <w:vMerge w:val="continue"/>
            <w:vAlign w:val="center"/>
          </w:tcPr>
          <w:p w14:paraId="0B241874">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F5220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50CA63B7">
            <w:pPr>
              <w:pageBreakBefore w:val="0"/>
              <w:widowControl/>
              <w:kinsoku/>
              <w:wordWrap/>
              <w:overflowPunct/>
              <w:topLinePunct w:val="0"/>
              <w:bidi w:val="0"/>
              <w:spacing w:line="360" w:lineRule="exact"/>
              <w:jc w:val="center"/>
              <w:rPr>
                <w:rFonts w:ascii="宋体" w:hAnsi="宋体" w:cs="宋体"/>
                <w:color w:val="000000" w:themeColor="text1"/>
                <w:kern w:val="0"/>
                <w:sz w:val="18"/>
                <w:szCs w:val="18"/>
                <w:lang w:eastAsia="en-US"/>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080319Z</w:t>
            </w:r>
          </w:p>
        </w:tc>
        <w:tc>
          <w:tcPr>
            <w:tcW w:w="2322" w:type="dxa"/>
            <w:shd w:val="clear" w:color="auto" w:fill="auto"/>
            <w:vAlign w:val="center"/>
          </w:tcPr>
          <w:p w14:paraId="532ED4E6">
            <w:pPr>
              <w:pageBreakBefore w:val="0"/>
              <w:widowControl/>
              <w:kinsoku/>
              <w:wordWrap/>
              <w:overflowPunct/>
              <w:topLinePunct w:val="0"/>
              <w:bidi w:val="0"/>
              <w:spacing w:line="360" w:lineRule="exact"/>
              <w:jc w:val="center"/>
              <w:rPr>
                <w:rFonts w:ascii="宋体" w:hAnsi="宋体" w:cs="宋体"/>
                <w:b w:val="0"/>
                <w:bCs w:val="0"/>
                <w:kern w:val="0"/>
                <w:sz w:val="18"/>
                <w:szCs w:val="18"/>
              </w:rPr>
            </w:pPr>
            <w:r>
              <w:rPr>
                <w:rFonts w:hint="eastAsia" w:ascii="宋体" w:hAnsi="宋体" w:cs="宋体"/>
                <w:b w:val="0"/>
                <w:bCs w:val="0"/>
                <w:kern w:val="0"/>
                <w:sz w:val="18"/>
                <w:szCs w:val="18"/>
              </w:rPr>
              <w:t>儿歌弹唱</w:t>
            </w:r>
          </w:p>
        </w:tc>
        <w:tc>
          <w:tcPr>
            <w:tcW w:w="437" w:type="dxa"/>
            <w:shd w:val="clear" w:color="auto" w:fill="auto"/>
            <w:vAlign w:val="center"/>
          </w:tcPr>
          <w:p w14:paraId="6424C8F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57D8B0E">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6DFE1F31">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3B8ADBD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303E8AAA">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76C59EC3">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7040C087">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B4CFEAA">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44463DC7">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62" w:type="dxa"/>
            <w:shd w:val="clear" w:color="auto" w:fill="auto"/>
            <w:vAlign w:val="center"/>
          </w:tcPr>
          <w:p w14:paraId="624AE9A7">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F8E5E83">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101B018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Merge w:val="restart"/>
            <w:vAlign w:val="center"/>
          </w:tcPr>
          <w:p w14:paraId="39F74C95">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六选三</w:t>
            </w:r>
          </w:p>
        </w:tc>
      </w:tr>
      <w:bookmarkEnd w:id="42"/>
      <w:tr w14:paraId="5DF7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0C09B62">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D8E6E03">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69BCDB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6C6DD00F">
            <w:pPr>
              <w:pageBreakBefore w:val="0"/>
              <w:widowControl/>
              <w:kinsoku/>
              <w:wordWrap/>
              <w:overflowPunct/>
              <w:topLinePunct w:val="0"/>
              <w:bidi w:val="0"/>
              <w:spacing w:line="360" w:lineRule="exact"/>
              <w:jc w:val="center"/>
              <w:rPr>
                <w:rFonts w:ascii="宋体" w:hAnsi="宋体" w:cs="宋体"/>
                <w:color w:val="000000" w:themeColor="text1"/>
                <w:kern w:val="0"/>
                <w:sz w:val="18"/>
                <w:szCs w:val="18"/>
                <w:lang w:eastAsia="en-US"/>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080320Z</w:t>
            </w:r>
          </w:p>
        </w:tc>
        <w:tc>
          <w:tcPr>
            <w:tcW w:w="2322" w:type="dxa"/>
            <w:shd w:val="clear" w:color="auto" w:fill="auto"/>
            <w:vAlign w:val="center"/>
          </w:tcPr>
          <w:p w14:paraId="2A7C74F1">
            <w:pPr>
              <w:pageBreakBefore w:val="0"/>
              <w:widowControl/>
              <w:kinsoku/>
              <w:wordWrap/>
              <w:overflowPunct/>
              <w:topLinePunct w:val="0"/>
              <w:bidi w:val="0"/>
              <w:spacing w:line="360" w:lineRule="exact"/>
              <w:jc w:val="center"/>
              <w:rPr>
                <w:rFonts w:ascii="宋体" w:hAnsi="宋体" w:cs="宋体"/>
                <w:b w:val="0"/>
                <w:bCs w:val="0"/>
                <w:kern w:val="0"/>
                <w:sz w:val="18"/>
                <w:szCs w:val="18"/>
              </w:rPr>
            </w:pPr>
            <w:bookmarkStart w:id="43" w:name="OLE_LINK8"/>
            <w:r>
              <w:rPr>
                <w:rFonts w:hint="eastAsia" w:ascii="宋体" w:hAnsi="宋体" w:cs="宋体"/>
                <w:b w:val="0"/>
                <w:bCs w:val="0"/>
                <w:kern w:val="0"/>
                <w:sz w:val="18"/>
                <w:szCs w:val="18"/>
              </w:rPr>
              <w:t>家庭与社区教育</w:t>
            </w:r>
            <w:bookmarkEnd w:id="43"/>
          </w:p>
        </w:tc>
        <w:tc>
          <w:tcPr>
            <w:tcW w:w="437" w:type="dxa"/>
            <w:shd w:val="clear" w:color="auto" w:fill="auto"/>
            <w:vAlign w:val="center"/>
          </w:tcPr>
          <w:p w14:paraId="022F129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B6CF55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2363697B">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2E61C43E">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2A281D32">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142A607A">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391CA567">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D9EA13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22C217F2">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62" w:type="dxa"/>
            <w:shd w:val="clear" w:color="auto" w:fill="auto"/>
            <w:vAlign w:val="center"/>
          </w:tcPr>
          <w:p w14:paraId="35A2C6D8">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6B297F6">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40AD967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600" w:type="dxa"/>
            <w:vMerge w:val="continue"/>
            <w:vAlign w:val="center"/>
          </w:tcPr>
          <w:p w14:paraId="68B7516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B91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4EE87E0">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225BC52">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948D8B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0E6B47D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080321Z</w:t>
            </w:r>
          </w:p>
        </w:tc>
        <w:tc>
          <w:tcPr>
            <w:tcW w:w="2322" w:type="dxa"/>
            <w:shd w:val="clear" w:color="auto" w:fill="auto"/>
            <w:vAlign w:val="center"/>
          </w:tcPr>
          <w:p w14:paraId="07917445">
            <w:pPr>
              <w:pageBreakBefore w:val="0"/>
              <w:widowControl/>
              <w:kinsoku/>
              <w:wordWrap/>
              <w:overflowPunct/>
              <w:topLinePunct w:val="0"/>
              <w:bidi w:val="0"/>
              <w:spacing w:line="360" w:lineRule="exact"/>
              <w:jc w:val="center"/>
              <w:rPr>
                <w:rFonts w:ascii="宋体" w:hAnsi="宋体" w:cs="宋体"/>
                <w:b w:val="0"/>
                <w:bCs w:val="0"/>
                <w:kern w:val="0"/>
                <w:sz w:val="18"/>
                <w:szCs w:val="18"/>
              </w:rPr>
            </w:pPr>
            <w:r>
              <w:rPr>
                <w:rFonts w:hint="eastAsia" w:ascii="宋体" w:hAnsi="宋体" w:cs="宋体"/>
                <w:b w:val="0"/>
                <w:bCs w:val="0"/>
                <w:color w:val="000000" w:themeColor="text1"/>
                <w:kern w:val="0"/>
                <w:sz w:val="18"/>
                <w:szCs w:val="18"/>
                <w14:textFill>
                  <w14:solidFill>
                    <w14:schemeClr w14:val="tx1"/>
                  </w14:solidFill>
                </w14:textFill>
              </w:rPr>
              <w:t>奥尔夫音乐教学法</w:t>
            </w:r>
          </w:p>
        </w:tc>
        <w:tc>
          <w:tcPr>
            <w:tcW w:w="437" w:type="dxa"/>
            <w:shd w:val="clear" w:color="auto" w:fill="auto"/>
            <w:vAlign w:val="center"/>
          </w:tcPr>
          <w:p w14:paraId="2384C5A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3675C43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2E207929">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6E9E79B1">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62102C21">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4DF7E3AF">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090C5510">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49B0527F">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1CF59F69">
            <w:pPr>
              <w:pageBreakBefore w:val="0"/>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462" w:type="dxa"/>
            <w:shd w:val="clear" w:color="auto" w:fill="auto"/>
            <w:vAlign w:val="center"/>
          </w:tcPr>
          <w:p w14:paraId="5E187D0D">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D516308">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4030E36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Merge w:val="continue"/>
            <w:vAlign w:val="center"/>
          </w:tcPr>
          <w:p w14:paraId="0F5A5FB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00B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06B7226">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0DA2854">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4B8CD1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2857FDC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080322Z</w:t>
            </w:r>
          </w:p>
        </w:tc>
        <w:tc>
          <w:tcPr>
            <w:tcW w:w="2322" w:type="dxa"/>
            <w:shd w:val="clear" w:color="auto" w:fill="auto"/>
            <w:vAlign w:val="center"/>
          </w:tcPr>
          <w:p w14:paraId="4BA6BB60">
            <w:pPr>
              <w:pageBreakBefore w:val="0"/>
              <w:widowControl/>
              <w:kinsoku/>
              <w:wordWrap/>
              <w:overflowPunct/>
              <w:topLinePunct w:val="0"/>
              <w:bidi w:val="0"/>
              <w:spacing w:line="360" w:lineRule="exact"/>
              <w:jc w:val="center"/>
              <w:rPr>
                <w:rFonts w:ascii="宋体" w:hAnsi="宋体" w:cs="宋体"/>
                <w:b w:val="0"/>
                <w:bCs w:val="0"/>
                <w:kern w:val="0"/>
                <w:sz w:val="18"/>
                <w:szCs w:val="18"/>
              </w:rPr>
            </w:pPr>
            <w:bookmarkStart w:id="44" w:name="OLE_LINK7"/>
            <w:r>
              <w:rPr>
                <w:rFonts w:hint="eastAsia" w:ascii="宋体" w:hAnsi="宋体" w:cs="宋体"/>
                <w:b w:val="0"/>
                <w:bCs w:val="0"/>
                <w:kern w:val="0"/>
                <w:sz w:val="18"/>
                <w:szCs w:val="18"/>
              </w:rPr>
              <w:t>0-3岁婴幼儿保育与教育</w:t>
            </w:r>
            <w:bookmarkEnd w:id="44"/>
          </w:p>
        </w:tc>
        <w:tc>
          <w:tcPr>
            <w:tcW w:w="437" w:type="dxa"/>
            <w:shd w:val="clear" w:color="auto" w:fill="auto"/>
            <w:vAlign w:val="center"/>
          </w:tcPr>
          <w:p w14:paraId="06A44B6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0007B5A">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4305CEB5">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6C34B18C">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65715823">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64E2804F">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4F2FFB33">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A3C97B6">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2AF80F3A">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62" w:type="dxa"/>
            <w:shd w:val="clear" w:color="auto" w:fill="auto"/>
            <w:vAlign w:val="center"/>
          </w:tcPr>
          <w:p w14:paraId="3937C8D8">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0AFBB6E">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11C79C9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⑦</w:t>
            </w:r>
          </w:p>
        </w:tc>
        <w:tc>
          <w:tcPr>
            <w:tcW w:w="600" w:type="dxa"/>
            <w:vMerge w:val="continue"/>
            <w:vAlign w:val="center"/>
          </w:tcPr>
          <w:p w14:paraId="29DDD2E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ED2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61322BC">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45" w:name="OLE_LINK19" w:colFirst="5" w:colLast="13"/>
            <w:bookmarkStart w:id="46" w:name="OLE_LINK25" w:colFirst="5" w:colLast="12"/>
            <w:bookmarkStart w:id="47" w:name="OLE_LINK21" w:colFirst="5" w:colLast="8"/>
          </w:p>
        </w:tc>
        <w:tc>
          <w:tcPr>
            <w:tcW w:w="419" w:type="dxa"/>
            <w:vMerge w:val="continue"/>
            <w:vAlign w:val="center"/>
          </w:tcPr>
          <w:p w14:paraId="051879FF">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A17A5CC">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901" w:type="dxa"/>
            <w:shd w:val="clear" w:color="auto" w:fill="auto"/>
            <w:vAlign w:val="center"/>
          </w:tcPr>
          <w:p w14:paraId="11E6F64F">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080323Z</w:t>
            </w:r>
          </w:p>
        </w:tc>
        <w:tc>
          <w:tcPr>
            <w:tcW w:w="2322" w:type="dxa"/>
            <w:shd w:val="clear" w:color="auto" w:fill="auto"/>
            <w:vAlign w:val="center"/>
          </w:tcPr>
          <w:p w14:paraId="7B6D3100">
            <w:pPr>
              <w:pageBreakBefore w:val="0"/>
              <w:widowControl/>
              <w:kinsoku/>
              <w:wordWrap/>
              <w:overflowPunct/>
              <w:topLinePunct w:val="0"/>
              <w:bidi w:val="0"/>
              <w:spacing w:line="360" w:lineRule="exact"/>
              <w:jc w:val="center"/>
              <w:rPr>
                <w:rFonts w:hint="default" w:ascii="宋体" w:hAnsi="宋体" w:eastAsia="宋体" w:cs="宋体"/>
                <w:b w:val="0"/>
                <w:bCs w:val="0"/>
                <w:kern w:val="0"/>
                <w:sz w:val="18"/>
                <w:szCs w:val="18"/>
                <w:lang w:val="en-US" w:eastAsia="zh-CN"/>
              </w:rPr>
            </w:pPr>
            <w:r>
              <w:rPr>
                <w:rFonts w:hint="eastAsia" w:ascii="宋体" w:hAnsi="宋体" w:cs="宋体"/>
                <w:b w:val="0"/>
                <w:bCs w:val="0"/>
                <w:kern w:val="0"/>
                <w:sz w:val="18"/>
                <w:szCs w:val="18"/>
                <w:lang w:val="en-US" w:eastAsia="zh-CN"/>
              </w:rPr>
              <w:t>学前教育政策法规</w:t>
            </w:r>
          </w:p>
        </w:tc>
        <w:tc>
          <w:tcPr>
            <w:tcW w:w="437" w:type="dxa"/>
            <w:shd w:val="clear" w:color="auto" w:fill="auto"/>
            <w:vAlign w:val="center"/>
          </w:tcPr>
          <w:p w14:paraId="60D5B54B">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5CBC180">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0020985F">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5EEC0535">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19C241CC">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67A6AA20">
            <w:pPr>
              <w:pageBreakBefore w:val="0"/>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440" w:type="dxa"/>
            <w:shd w:val="clear" w:color="auto" w:fill="auto"/>
            <w:vAlign w:val="center"/>
          </w:tcPr>
          <w:p w14:paraId="30291B6A">
            <w:pPr>
              <w:pageBreakBefore w:val="0"/>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450" w:type="dxa"/>
            <w:shd w:val="clear" w:color="auto" w:fill="auto"/>
            <w:vAlign w:val="center"/>
          </w:tcPr>
          <w:p w14:paraId="2B010E0B">
            <w:pPr>
              <w:pageBreakBefore w:val="0"/>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452" w:type="dxa"/>
            <w:shd w:val="clear" w:color="auto" w:fill="auto"/>
            <w:vAlign w:val="center"/>
          </w:tcPr>
          <w:p w14:paraId="082A2E6F">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32</w:t>
            </w:r>
          </w:p>
        </w:tc>
        <w:tc>
          <w:tcPr>
            <w:tcW w:w="462" w:type="dxa"/>
            <w:shd w:val="clear" w:color="auto" w:fill="auto"/>
            <w:vAlign w:val="center"/>
          </w:tcPr>
          <w:p w14:paraId="5CD3C376">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8B2A7FF">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1FBB477E">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Merge w:val="continue"/>
            <w:vAlign w:val="center"/>
          </w:tcPr>
          <w:p w14:paraId="0090CB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C46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08A0D0D">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A2CA733">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F69152C">
            <w:pPr>
              <w:pageBreakBefore w:val="0"/>
              <w:widowControl/>
              <w:kinsoku/>
              <w:wordWrap/>
              <w:overflowPunct/>
              <w:topLinePunct w:val="0"/>
              <w:bidi w:val="0"/>
              <w:spacing w:line="36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901" w:type="dxa"/>
            <w:shd w:val="clear" w:color="auto" w:fill="auto"/>
            <w:vAlign w:val="center"/>
          </w:tcPr>
          <w:p w14:paraId="55BEF0AB">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080324Z</w:t>
            </w:r>
          </w:p>
        </w:tc>
        <w:tc>
          <w:tcPr>
            <w:tcW w:w="2322" w:type="dxa"/>
            <w:shd w:val="clear" w:color="auto" w:fill="auto"/>
            <w:vAlign w:val="center"/>
          </w:tcPr>
          <w:p w14:paraId="187EF6B6">
            <w:pPr>
              <w:pageBreakBefore w:val="0"/>
              <w:widowControl/>
              <w:kinsoku/>
              <w:wordWrap/>
              <w:overflowPunct/>
              <w:topLinePunct w:val="0"/>
              <w:bidi w:val="0"/>
              <w:spacing w:line="360" w:lineRule="exact"/>
              <w:jc w:val="center"/>
              <w:rPr>
                <w:rFonts w:hint="default" w:ascii="宋体" w:hAnsi="宋体" w:cs="宋体"/>
                <w:b w:val="0"/>
                <w:bCs w:val="0"/>
                <w:kern w:val="0"/>
                <w:sz w:val="18"/>
                <w:szCs w:val="18"/>
                <w:lang w:val="en-US" w:eastAsia="zh-CN"/>
              </w:rPr>
            </w:pPr>
            <w:r>
              <w:rPr>
                <w:rFonts w:hint="eastAsia" w:ascii="宋体" w:hAnsi="宋体" w:cs="宋体"/>
                <w:b w:val="0"/>
                <w:bCs w:val="0"/>
                <w:kern w:val="0"/>
                <w:sz w:val="18"/>
                <w:szCs w:val="18"/>
                <w:lang w:val="en-US" w:eastAsia="zh-CN"/>
              </w:rPr>
              <w:t>学前儿童融合教育</w:t>
            </w:r>
          </w:p>
        </w:tc>
        <w:tc>
          <w:tcPr>
            <w:tcW w:w="437" w:type="dxa"/>
            <w:shd w:val="clear" w:color="auto" w:fill="auto"/>
            <w:vAlign w:val="center"/>
          </w:tcPr>
          <w:p w14:paraId="6F925A58">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56450CCC">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73F7D365">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381B36E2">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770EB240">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65B55BE2">
            <w:pPr>
              <w:pageBreakBefore w:val="0"/>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440" w:type="dxa"/>
            <w:shd w:val="clear" w:color="auto" w:fill="auto"/>
            <w:vAlign w:val="center"/>
          </w:tcPr>
          <w:p w14:paraId="54E6169F">
            <w:pPr>
              <w:pageBreakBefore w:val="0"/>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450" w:type="dxa"/>
            <w:shd w:val="clear" w:color="auto" w:fill="auto"/>
            <w:vAlign w:val="center"/>
          </w:tcPr>
          <w:p w14:paraId="5F5BE559">
            <w:pPr>
              <w:pageBreakBefore w:val="0"/>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452" w:type="dxa"/>
            <w:shd w:val="clear" w:color="auto" w:fill="auto"/>
            <w:vAlign w:val="center"/>
          </w:tcPr>
          <w:p w14:paraId="32486717">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32</w:t>
            </w:r>
          </w:p>
        </w:tc>
        <w:tc>
          <w:tcPr>
            <w:tcW w:w="462" w:type="dxa"/>
            <w:shd w:val="clear" w:color="auto" w:fill="auto"/>
            <w:vAlign w:val="center"/>
          </w:tcPr>
          <w:p w14:paraId="218C67EA">
            <w:pPr>
              <w:pageBreakBefore w:val="0"/>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450" w:type="dxa"/>
            <w:shd w:val="clear" w:color="auto" w:fill="auto"/>
            <w:vAlign w:val="center"/>
          </w:tcPr>
          <w:p w14:paraId="78CCC0FA">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78C2D618">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Merge w:val="continue"/>
            <w:vAlign w:val="center"/>
          </w:tcPr>
          <w:p w14:paraId="2A737AC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108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321E8F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B3CA1B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77EC31F3">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322" w:type="dxa"/>
            <w:vAlign w:val="center"/>
          </w:tcPr>
          <w:p w14:paraId="5F58E626">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共5门</w:t>
            </w:r>
          </w:p>
        </w:tc>
        <w:tc>
          <w:tcPr>
            <w:tcW w:w="437" w:type="dxa"/>
            <w:vAlign w:val="center"/>
          </w:tcPr>
          <w:p w14:paraId="6CF9AD01">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shd w:val="clear" w:color="auto" w:fill="auto"/>
            <w:vAlign w:val="center"/>
          </w:tcPr>
          <w:p w14:paraId="5DC5BB14">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160</w:t>
            </w:r>
          </w:p>
        </w:tc>
        <w:tc>
          <w:tcPr>
            <w:tcW w:w="573" w:type="dxa"/>
            <w:shd w:val="clear" w:color="auto" w:fill="auto"/>
            <w:vAlign w:val="center"/>
          </w:tcPr>
          <w:p w14:paraId="684C8447">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80</w:t>
            </w:r>
          </w:p>
        </w:tc>
        <w:tc>
          <w:tcPr>
            <w:tcW w:w="509" w:type="dxa"/>
            <w:shd w:val="clear" w:color="auto" w:fill="auto"/>
            <w:vAlign w:val="center"/>
          </w:tcPr>
          <w:p w14:paraId="2BCC4446">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80</w:t>
            </w:r>
          </w:p>
        </w:tc>
        <w:tc>
          <w:tcPr>
            <w:tcW w:w="427" w:type="dxa"/>
            <w:shd w:val="clear" w:color="auto" w:fill="auto"/>
            <w:vAlign w:val="center"/>
          </w:tcPr>
          <w:p w14:paraId="09C68200">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10</w:t>
            </w:r>
          </w:p>
        </w:tc>
        <w:tc>
          <w:tcPr>
            <w:tcW w:w="437" w:type="dxa"/>
            <w:shd w:val="clear" w:color="auto" w:fill="auto"/>
            <w:vAlign w:val="center"/>
          </w:tcPr>
          <w:p w14:paraId="4967B8CF">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32</w:t>
            </w:r>
          </w:p>
        </w:tc>
        <w:tc>
          <w:tcPr>
            <w:tcW w:w="440" w:type="dxa"/>
            <w:shd w:val="clear" w:color="auto" w:fill="auto"/>
            <w:vAlign w:val="center"/>
          </w:tcPr>
          <w:p w14:paraId="553B1055">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0</w:t>
            </w:r>
          </w:p>
        </w:tc>
        <w:tc>
          <w:tcPr>
            <w:tcW w:w="450" w:type="dxa"/>
            <w:shd w:val="clear" w:color="auto" w:fill="auto"/>
            <w:vAlign w:val="center"/>
          </w:tcPr>
          <w:p w14:paraId="458FD555">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32</w:t>
            </w:r>
          </w:p>
        </w:tc>
        <w:tc>
          <w:tcPr>
            <w:tcW w:w="452" w:type="dxa"/>
            <w:shd w:val="clear" w:color="auto" w:fill="auto"/>
            <w:vAlign w:val="center"/>
          </w:tcPr>
          <w:p w14:paraId="3519AA73">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96</w:t>
            </w:r>
          </w:p>
        </w:tc>
        <w:tc>
          <w:tcPr>
            <w:tcW w:w="462" w:type="dxa"/>
            <w:shd w:val="clear" w:color="auto" w:fill="auto"/>
            <w:vAlign w:val="center"/>
          </w:tcPr>
          <w:p w14:paraId="0EEFD1DD">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0</w:t>
            </w:r>
          </w:p>
        </w:tc>
        <w:tc>
          <w:tcPr>
            <w:tcW w:w="450" w:type="dxa"/>
            <w:shd w:val="clear" w:color="auto" w:fill="auto"/>
            <w:vAlign w:val="center"/>
          </w:tcPr>
          <w:p w14:paraId="2F246B57">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kern w:val="0"/>
                <w:sz w:val="18"/>
                <w:szCs w:val="18"/>
              </w:rPr>
              <w:t>0</w:t>
            </w:r>
          </w:p>
        </w:tc>
        <w:tc>
          <w:tcPr>
            <w:tcW w:w="474" w:type="dxa"/>
            <w:vAlign w:val="center"/>
          </w:tcPr>
          <w:p w14:paraId="28BA06E5">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Align w:val="center"/>
          </w:tcPr>
          <w:p w14:paraId="63FBCAA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bookmarkEnd w:id="45"/>
      <w:bookmarkEnd w:id="46"/>
      <w:bookmarkEnd w:id="47"/>
      <w:tr w14:paraId="6A01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72FC17C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5FB19E2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396" w:type="dxa"/>
            <w:shd w:val="clear" w:color="auto" w:fill="auto"/>
            <w:vAlign w:val="center"/>
          </w:tcPr>
          <w:p w14:paraId="1B13B17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p>
        </w:tc>
        <w:tc>
          <w:tcPr>
            <w:tcW w:w="901" w:type="dxa"/>
            <w:shd w:val="clear" w:color="auto" w:fill="auto"/>
            <w:vAlign w:val="center"/>
          </w:tcPr>
          <w:p w14:paraId="294E5C6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08032</w:t>
            </w:r>
            <w:r>
              <w:rPr>
                <w:rFonts w:hint="eastAsia" w:ascii="宋体" w:hAnsi="宋体" w:cs="宋体"/>
                <w:color w:val="000000" w:themeColor="text1"/>
                <w:kern w:val="0"/>
                <w:sz w:val="18"/>
                <w:szCs w:val="18"/>
                <w:lang w:val="en-US" w:eastAsia="zh-CN"/>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Z</w:t>
            </w:r>
          </w:p>
        </w:tc>
        <w:tc>
          <w:tcPr>
            <w:tcW w:w="2322" w:type="dxa"/>
            <w:shd w:val="clear" w:color="auto" w:fill="auto"/>
            <w:vAlign w:val="center"/>
          </w:tcPr>
          <w:p w14:paraId="171C300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岗位实习</w:t>
            </w:r>
          </w:p>
        </w:tc>
        <w:tc>
          <w:tcPr>
            <w:tcW w:w="437" w:type="dxa"/>
            <w:vAlign w:val="center"/>
          </w:tcPr>
          <w:p w14:paraId="0185C8E0">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C</w:t>
            </w:r>
          </w:p>
        </w:tc>
        <w:tc>
          <w:tcPr>
            <w:tcW w:w="490" w:type="dxa"/>
            <w:shd w:val="clear" w:color="auto" w:fill="auto"/>
            <w:vAlign w:val="center"/>
          </w:tcPr>
          <w:p w14:paraId="5C5E08BF">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676</w:t>
            </w:r>
          </w:p>
        </w:tc>
        <w:tc>
          <w:tcPr>
            <w:tcW w:w="573" w:type="dxa"/>
            <w:shd w:val="clear" w:color="auto" w:fill="auto"/>
            <w:vAlign w:val="center"/>
          </w:tcPr>
          <w:p w14:paraId="4785F895">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09" w:type="dxa"/>
            <w:shd w:val="clear" w:color="auto" w:fill="auto"/>
            <w:vAlign w:val="center"/>
          </w:tcPr>
          <w:p w14:paraId="472702EE">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676</w:t>
            </w:r>
          </w:p>
        </w:tc>
        <w:tc>
          <w:tcPr>
            <w:tcW w:w="427" w:type="dxa"/>
            <w:shd w:val="clear" w:color="auto" w:fill="auto"/>
            <w:vAlign w:val="center"/>
          </w:tcPr>
          <w:p w14:paraId="29B0F6C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26</w:t>
            </w:r>
          </w:p>
        </w:tc>
        <w:tc>
          <w:tcPr>
            <w:tcW w:w="437" w:type="dxa"/>
            <w:shd w:val="clear" w:color="auto" w:fill="auto"/>
            <w:vAlign w:val="center"/>
          </w:tcPr>
          <w:p w14:paraId="2259C31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53C6BDC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92EE92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71DBE22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3F39099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w:t>
            </w:r>
          </w:p>
        </w:tc>
        <w:tc>
          <w:tcPr>
            <w:tcW w:w="450" w:type="dxa"/>
            <w:shd w:val="clear" w:color="auto" w:fill="auto"/>
            <w:vAlign w:val="center"/>
          </w:tcPr>
          <w:p w14:paraId="391903D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w:t>
            </w:r>
          </w:p>
        </w:tc>
        <w:tc>
          <w:tcPr>
            <w:tcW w:w="474" w:type="dxa"/>
            <w:shd w:val="clear" w:color="auto" w:fill="auto"/>
            <w:vAlign w:val="center"/>
          </w:tcPr>
          <w:p w14:paraId="3DF3EB8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⑧</w:t>
            </w:r>
          </w:p>
        </w:tc>
        <w:tc>
          <w:tcPr>
            <w:tcW w:w="600" w:type="dxa"/>
            <w:vAlign w:val="center"/>
          </w:tcPr>
          <w:p w14:paraId="2BF2B4C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802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4B84B4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B7CFD2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4C4B84C">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901" w:type="dxa"/>
            <w:shd w:val="clear" w:color="auto" w:fill="auto"/>
            <w:vAlign w:val="center"/>
          </w:tcPr>
          <w:p w14:paraId="74122C3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08032</w:t>
            </w:r>
            <w:r>
              <w:rPr>
                <w:rFonts w:hint="eastAsia" w:ascii="宋体" w:hAnsi="宋体" w:cs="宋体"/>
                <w:color w:val="000000" w:themeColor="text1"/>
                <w:kern w:val="0"/>
                <w:sz w:val="18"/>
                <w:szCs w:val="18"/>
                <w:lang w:val="en-US" w:eastAsia="zh-CN"/>
                <w14:textFill>
                  <w14:solidFill>
                    <w14:schemeClr w14:val="tx1"/>
                  </w14:solidFill>
                </w14:textFill>
              </w:rPr>
              <w:t>6</w:t>
            </w:r>
            <w:r>
              <w:rPr>
                <w:rFonts w:hint="eastAsia" w:ascii="宋体" w:hAnsi="宋体" w:cs="宋体"/>
                <w:color w:val="000000" w:themeColor="text1"/>
                <w:kern w:val="0"/>
                <w:sz w:val="18"/>
                <w:szCs w:val="18"/>
                <w14:textFill>
                  <w14:solidFill>
                    <w14:schemeClr w14:val="tx1"/>
                  </w14:solidFill>
                </w14:textFill>
              </w:rPr>
              <w:t>Z</w:t>
            </w:r>
          </w:p>
        </w:tc>
        <w:tc>
          <w:tcPr>
            <w:tcW w:w="2322" w:type="dxa"/>
            <w:shd w:val="clear" w:color="auto" w:fill="auto"/>
            <w:vAlign w:val="center"/>
          </w:tcPr>
          <w:p w14:paraId="3AC49C0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毕业设计与毕业教育</w:t>
            </w:r>
          </w:p>
        </w:tc>
        <w:tc>
          <w:tcPr>
            <w:tcW w:w="437" w:type="dxa"/>
            <w:vAlign w:val="center"/>
          </w:tcPr>
          <w:p w14:paraId="7726CABD">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C</w:t>
            </w:r>
          </w:p>
        </w:tc>
        <w:tc>
          <w:tcPr>
            <w:tcW w:w="490" w:type="dxa"/>
            <w:shd w:val="clear" w:color="auto" w:fill="auto"/>
            <w:vAlign w:val="center"/>
          </w:tcPr>
          <w:p w14:paraId="68C0C2E3">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260</w:t>
            </w:r>
          </w:p>
        </w:tc>
        <w:tc>
          <w:tcPr>
            <w:tcW w:w="573" w:type="dxa"/>
            <w:shd w:val="clear" w:color="auto" w:fill="auto"/>
            <w:vAlign w:val="center"/>
          </w:tcPr>
          <w:p w14:paraId="5FC08FEC">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09" w:type="dxa"/>
            <w:shd w:val="clear" w:color="auto" w:fill="auto"/>
            <w:vAlign w:val="center"/>
          </w:tcPr>
          <w:p w14:paraId="34A63ACA">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260</w:t>
            </w:r>
          </w:p>
        </w:tc>
        <w:tc>
          <w:tcPr>
            <w:tcW w:w="427" w:type="dxa"/>
            <w:shd w:val="clear" w:color="auto" w:fill="auto"/>
            <w:vAlign w:val="center"/>
          </w:tcPr>
          <w:p w14:paraId="5AE8809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437" w:type="dxa"/>
            <w:shd w:val="clear" w:color="auto" w:fill="auto"/>
            <w:vAlign w:val="center"/>
          </w:tcPr>
          <w:p w14:paraId="1F65B18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78501D1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06017F9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234A6AF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08FFD44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6BE95A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w:t>
            </w:r>
          </w:p>
        </w:tc>
        <w:tc>
          <w:tcPr>
            <w:tcW w:w="474" w:type="dxa"/>
            <w:shd w:val="clear" w:color="auto" w:fill="auto"/>
            <w:vAlign w:val="center"/>
          </w:tcPr>
          <w:p w14:paraId="577B5AD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⑦</w:t>
            </w:r>
          </w:p>
        </w:tc>
        <w:tc>
          <w:tcPr>
            <w:tcW w:w="600" w:type="dxa"/>
            <w:vAlign w:val="center"/>
          </w:tcPr>
          <w:p w14:paraId="2BB68E6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F96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A782F6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48" w:name="OLE_LINK20" w:colFirst="5" w:colLast="14"/>
            <w:bookmarkStart w:id="49" w:name="OLE_LINK24" w:colFirst="5" w:colLast="8"/>
            <w:bookmarkStart w:id="50" w:name="OLE_LINK26" w:colFirst="5" w:colLast="12"/>
          </w:p>
        </w:tc>
        <w:tc>
          <w:tcPr>
            <w:tcW w:w="419" w:type="dxa"/>
            <w:vMerge w:val="continue"/>
            <w:vAlign w:val="center"/>
          </w:tcPr>
          <w:p w14:paraId="1C1A508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68EAF4B4">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322" w:type="dxa"/>
            <w:vAlign w:val="center"/>
          </w:tcPr>
          <w:p w14:paraId="6ADE0887">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共2门</w:t>
            </w:r>
          </w:p>
        </w:tc>
        <w:tc>
          <w:tcPr>
            <w:tcW w:w="437" w:type="dxa"/>
            <w:vAlign w:val="center"/>
          </w:tcPr>
          <w:p w14:paraId="44357351">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vAlign w:val="center"/>
          </w:tcPr>
          <w:p w14:paraId="7C329AA3">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936</w:t>
            </w:r>
          </w:p>
        </w:tc>
        <w:tc>
          <w:tcPr>
            <w:tcW w:w="573" w:type="dxa"/>
            <w:shd w:val="clear" w:color="auto" w:fill="auto"/>
            <w:vAlign w:val="center"/>
          </w:tcPr>
          <w:p w14:paraId="508543A8">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509" w:type="dxa"/>
            <w:shd w:val="clear" w:color="auto" w:fill="auto"/>
            <w:vAlign w:val="center"/>
          </w:tcPr>
          <w:p w14:paraId="15647030">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936</w:t>
            </w:r>
          </w:p>
        </w:tc>
        <w:tc>
          <w:tcPr>
            <w:tcW w:w="427" w:type="dxa"/>
            <w:shd w:val="clear" w:color="auto" w:fill="auto"/>
            <w:vAlign w:val="center"/>
          </w:tcPr>
          <w:p w14:paraId="2445D5E2">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36</w:t>
            </w:r>
          </w:p>
        </w:tc>
        <w:tc>
          <w:tcPr>
            <w:tcW w:w="437" w:type="dxa"/>
            <w:shd w:val="clear" w:color="auto" w:fill="auto"/>
            <w:vAlign w:val="center"/>
          </w:tcPr>
          <w:p w14:paraId="7AD67161">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40" w:type="dxa"/>
            <w:shd w:val="clear" w:color="auto" w:fill="auto"/>
            <w:vAlign w:val="center"/>
          </w:tcPr>
          <w:p w14:paraId="315E8644">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50" w:type="dxa"/>
            <w:shd w:val="clear" w:color="auto" w:fill="auto"/>
            <w:vAlign w:val="center"/>
          </w:tcPr>
          <w:p w14:paraId="621FB20B">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52" w:type="dxa"/>
            <w:shd w:val="clear" w:color="auto" w:fill="auto"/>
            <w:vAlign w:val="center"/>
          </w:tcPr>
          <w:p w14:paraId="5E994171">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62" w:type="dxa"/>
            <w:shd w:val="clear" w:color="auto" w:fill="auto"/>
            <w:vAlign w:val="center"/>
          </w:tcPr>
          <w:p w14:paraId="18B5C195">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468</w:t>
            </w:r>
          </w:p>
        </w:tc>
        <w:tc>
          <w:tcPr>
            <w:tcW w:w="450" w:type="dxa"/>
            <w:shd w:val="clear" w:color="auto" w:fill="auto"/>
            <w:vAlign w:val="center"/>
          </w:tcPr>
          <w:p w14:paraId="6A57A84A">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468</w:t>
            </w:r>
          </w:p>
        </w:tc>
        <w:tc>
          <w:tcPr>
            <w:tcW w:w="474" w:type="dxa"/>
            <w:shd w:val="clear" w:color="auto" w:fill="auto"/>
            <w:vAlign w:val="center"/>
          </w:tcPr>
          <w:p w14:paraId="08BB6C8F">
            <w:pPr>
              <w:pageBreakBefore w:val="0"/>
              <w:widowControl/>
              <w:kinsoku/>
              <w:wordWrap/>
              <w:overflowPunct/>
              <w:topLinePunct w:val="0"/>
              <w:bidi w:val="0"/>
              <w:spacing w:line="360" w:lineRule="exact"/>
              <w:jc w:val="center"/>
              <w:textAlignment w:val="center"/>
              <w:rPr>
                <w:rFonts w:ascii="宋体" w:hAnsi="宋体" w:cs="宋体"/>
                <w:kern w:val="0"/>
                <w:sz w:val="13"/>
                <w:szCs w:val="13"/>
              </w:rPr>
            </w:pPr>
          </w:p>
        </w:tc>
        <w:tc>
          <w:tcPr>
            <w:tcW w:w="600" w:type="dxa"/>
            <w:shd w:val="clear" w:color="auto" w:fill="auto"/>
            <w:vAlign w:val="center"/>
          </w:tcPr>
          <w:p w14:paraId="7015950D">
            <w:pPr>
              <w:pageBreakBefore w:val="0"/>
              <w:kinsoku/>
              <w:wordWrap/>
              <w:overflowPunct/>
              <w:topLinePunct w:val="0"/>
              <w:bidi w:val="0"/>
              <w:spacing w:line="360" w:lineRule="exact"/>
              <w:jc w:val="center"/>
              <w:rPr>
                <w:rFonts w:ascii="宋体" w:hAnsi="宋体" w:cs="宋体"/>
                <w:kern w:val="0"/>
                <w:sz w:val="13"/>
                <w:szCs w:val="13"/>
              </w:rPr>
            </w:pPr>
          </w:p>
        </w:tc>
      </w:tr>
      <w:bookmarkEnd w:id="48"/>
      <w:bookmarkEnd w:id="49"/>
      <w:bookmarkEnd w:id="50"/>
      <w:tr w14:paraId="4B1C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Merge w:val="restart"/>
            <w:vAlign w:val="center"/>
          </w:tcPr>
          <w:p w14:paraId="1B792C3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6" w:type="dxa"/>
            <w:vAlign w:val="center"/>
          </w:tcPr>
          <w:p w14:paraId="5A93B62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517FEB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Align w:val="center"/>
          </w:tcPr>
          <w:p w14:paraId="05BE2B08">
            <w:pPr>
              <w:pageBreakBefore w:val="0"/>
              <w:shd w:val="clear" w:color="auto" w:fill="FFFFFF"/>
              <w:kinsoku/>
              <w:wordWrap/>
              <w:overflowPunct/>
              <w:topLinePunct w:val="0"/>
              <w:bidi w:val="0"/>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437" w:type="dxa"/>
            <w:vAlign w:val="center"/>
          </w:tcPr>
          <w:p w14:paraId="6B4C5E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6B74AD7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73" w:type="dxa"/>
            <w:vAlign w:val="center"/>
          </w:tcPr>
          <w:p w14:paraId="01ACC45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135F1B7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27" w:type="dxa"/>
            <w:vAlign w:val="center"/>
          </w:tcPr>
          <w:p w14:paraId="3BAAEA8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vAlign w:val="center"/>
          </w:tcPr>
          <w:p w14:paraId="544FED1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440" w:type="dxa"/>
            <w:vAlign w:val="center"/>
          </w:tcPr>
          <w:p w14:paraId="5FDD688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50" w:type="dxa"/>
            <w:vAlign w:val="center"/>
          </w:tcPr>
          <w:p w14:paraId="69E73BE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52" w:type="dxa"/>
            <w:vAlign w:val="center"/>
          </w:tcPr>
          <w:p w14:paraId="24A173B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62" w:type="dxa"/>
            <w:vAlign w:val="center"/>
          </w:tcPr>
          <w:p w14:paraId="0DFB721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50" w:type="dxa"/>
            <w:vAlign w:val="center"/>
          </w:tcPr>
          <w:p w14:paraId="4894513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74" w:type="dxa"/>
            <w:vAlign w:val="center"/>
          </w:tcPr>
          <w:p w14:paraId="2BC2174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600" w:type="dxa"/>
            <w:vAlign w:val="center"/>
          </w:tcPr>
          <w:p w14:paraId="3F1B434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r>
      <w:tr w14:paraId="2FD4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Merge w:val="continue"/>
            <w:vAlign w:val="center"/>
          </w:tcPr>
          <w:p w14:paraId="061C6FB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36B692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2C98B7A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Align w:val="center"/>
          </w:tcPr>
          <w:p w14:paraId="71265D4F">
            <w:pPr>
              <w:pageBreakBefore w:val="0"/>
              <w:shd w:val="clear" w:color="auto" w:fill="FFFFFF"/>
              <w:kinsoku/>
              <w:wordWrap/>
              <w:overflowPunct/>
              <w:topLinePunct w:val="0"/>
              <w:bidi w:val="0"/>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p>
        </w:tc>
        <w:tc>
          <w:tcPr>
            <w:tcW w:w="437" w:type="dxa"/>
            <w:vAlign w:val="center"/>
          </w:tcPr>
          <w:p w14:paraId="0FDA925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62A9F0A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73" w:type="dxa"/>
            <w:vAlign w:val="center"/>
          </w:tcPr>
          <w:p w14:paraId="29AD1E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1B89EE1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27" w:type="dxa"/>
            <w:vAlign w:val="center"/>
          </w:tcPr>
          <w:p w14:paraId="7D6B3A0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vAlign w:val="center"/>
          </w:tcPr>
          <w:p w14:paraId="77D9480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vAlign w:val="center"/>
          </w:tcPr>
          <w:p w14:paraId="09FDD04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2BE86BE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0AA85EE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6B5D468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48E6A69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474" w:type="dxa"/>
            <w:vAlign w:val="center"/>
          </w:tcPr>
          <w:p w14:paraId="5139958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600" w:type="dxa"/>
            <w:vAlign w:val="center"/>
          </w:tcPr>
          <w:p w14:paraId="6E4E691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r>
      <w:tr w14:paraId="45A4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4"/>
            <w:vAlign w:val="center"/>
          </w:tcPr>
          <w:p w14:paraId="795AAAEC">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合   计</w:t>
            </w:r>
          </w:p>
        </w:tc>
        <w:tc>
          <w:tcPr>
            <w:tcW w:w="2322" w:type="dxa"/>
            <w:vAlign w:val="center"/>
          </w:tcPr>
          <w:p w14:paraId="47C27F39">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37" w:type="dxa"/>
            <w:vAlign w:val="center"/>
          </w:tcPr>
          <w:p w14:paraId="7B816E1A">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shd w:val="clear" w:color="auto" w:fill="auto"/>
            <w:vAlign w:val="center"/>
          </w:tcPr>
          <w:p w14:paraId="3A5B935F">
            <w:pPr>
              <w:pageBreakBefore w:val="0"/>
              <w:widowControl/>
              <w:kinsoku/>
              <w:wordWrap/>
              <w:overflowPunct/>
              <w:topLinePunct w:val="0"/>
              <w:bidi w:val="0"/>
              <w:spacing w:line="360" w:lineRule="exact"/>
              <w:jc w:val="right"/>
              <w:textAlignment w:val="center"/>
              <w:rPr>
                <w:rFonts w:hint="default" w:ascii="宋体" w:hAnsi="宋体" w:eastAsia="宋体" w:cs="宋体"/>
                <w:b/>
                <w:bCs/>
                <w:color w:val="000000"/>
                <w:sz w:val="18"/>
                <w:szCs w:val="18"/>
                <w:lang w:val="en-US" w:eastAsia="zh-CN"/>
              </w:rPr>
            </w:pPr>
            <w:r>
              <w:rPr>
                <w:rFonts w:hint="eastAsia" w:ascii="宋体" w:hAnsi="宋体" w:cs="宋体"/>
                <w:b/>
                <w:bCs/>
                <w:color w:val="000000"/>
                <w:kern w:val="0"/>
                <w:sz w:val="18"/>
                <w:szCs w:val="18"/>
                <w:lang w:bidi="ar"/>
              </w:rPr>
              <w:t>2</w:t>
            </w:r>
            <w:r>
              <w:rPr>
                <w:rFonts w:hint="eastAsia" w:ascii="宋体" w:hAnsi="宋体" w:cs="宋体"/>
                <w:b/>
                <w:bCs/>
                <w:color w:val="000000"/>
                <w:kern w:val="0"/>
                <w:sz w:val="18"/>
                <w:szCs w:val="18"/>
                <w:lang w:val="en-US" w:eastAsia="zh-CN" w:bidi="ar"/>
              </w:rPr>
              <w:t>728</w:t>
            </w:r>
          </w:p>
        </w:tc>
        <w:tc>
          <w:tcPr>
            <w:tcW w:w="573" w:type="dxa"/>
            <w:shd w:val="clear" w:color="auto" w:fill="auto"/>
            <w:vAlign w:val="center"/>
          </w:tcPr>
          <w:p w14:paraId="6CA0CA53">
            <w:pPr>
              <w:pageBreakBefore w:val="0"/>
              <w:widowControl/>
              <w:kinsoku/>
              <w:wordWrap/>
              <w:overflowPunct/>
              <w:topLinePunct w:val="0"/>
              <w:bidi w:val="0"/>
              <w:spacing w:line="360" w:lineRule="exact"/>
              <w:jc w:val="right"/>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998</w:t>
            </w:r>
          </w:p>
        </w:tc>
        <w:tc>
          <w:tcPr>
            <w:tcW w:w="509" w:type="dxa"/>
            <w:shd w:val="clear" w:color="auto" w:fill="auto"/>
            <w:vAlign w:val="center"/>
          </w:tcPr>
          <w:p w14:paraId="0BB9CFE9">
            <w:pPr>
              <w:pageBreakBefore w:val="0"/>
              <w:widowControl/>
              <w:kinsoku/>
              <w:wordWrap/>
              <w:overflowPunct/>
              <w:topLinePunct w:val="0"/>
              <w:bidi w:val="0"/>
              <w:spacing w:line="360" w:lineRule="exact"/>
              <w:jc w:val="right"/>
              <w:textAlignment w:val="center"/>
              <w:rPr>
                <w:rFonts w:hint="default" w:ascii="宋体" w:hAnsi="宋体" w:eastAsia="宋体" w:cs="宋体"/>
                <w:b/>
                <w:bCs/>
                <w:color w:val="000000"/>
                <w:sz w:val="18"/>
                <w:szCs w:val="18"/>
                <w:lang w:val="en-US" w:eastAsia="zh-CN"/>
              </w:rPr>
            </w:pPr>
            <w:r>
              <w:rPr>
                <w:rFonts w:hint="eastAsia" w:ascii="宋体" w:hAnsi="宋体" w:cs="宋体"/>
                <w:b/>
                <w:bCs/>
                <w:color w:val="000000"/>
                <w:sz w:val="18"/>
                <w:szCs w:val="18"/>
              </w:rPr>
              <w:t>1</w:t>
            </w:r>
            <w:r>
              <w:rPr>
                <w:rFonts w:hint="eastAsia" w:ascii="宋体" w:hAnsi="宋体" w:cs="宋体"/>
                <w:b/>
                <w:bCs/>
                <w:color w:val="000000"/>
                <w:sz w:val="18"/>
                <w:szCs w:val="18"/>
                <w:lang w:val="en-US" w:eastAsia="zh-CN"/>
              </w:rPr>
              <w:t>730</w:t>
            </w:r>
          </w:p>
        </w:tc>
        <w:tc>
          <w:tcPr>
            <w:tcW w:w="427" w:type="dxa"/>
            <w:shd w:val="clear" w:color="auto" w:fill="auto"/>
            <w:vAlign w:val="center"/>
          </w:tcPr>
          <w:p w14:paraId="451D1160">
            <w:pPr>
              <w:pageBreakBefore w:val="0"/>
              <w:widowControl/>
              <w:kinsoku/>
              <w:wordWrap/>
              <w:overflowPunct/>
              <w:topLinePunct w:val="0"/>
              <w:bidi w:val="0"/>
              <w:spacing w:line="360" w:lineRule="exact"/>
              <w:jc w:val="right"/>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144</w:t>
            </w:r>
          </w:p>
        </w:tc>
        <w:tc>
          <w:tcPr>
            <w:tcW w:w="437" w:type="dxa"/>
            <w:shd w:val="clear" w:color="auto" w:fill="auto"/>
            <w:vAlign w:val="center"/>
          </w:tcPr>
          <w:p w14:paraId="2D1F8113">
            <w:pPr>
              <w:pageBreakBefore w:val="0"/>
              <w:widowControl/>
              <w:kinsoku/>
              <w:wordWrap/>
              <w:overflowPunct/>
              <w:topLinePunct w:val="0"/>
              <w:bidi w:val="0"/>
              <w:spacing w:line="360" w:lineRule="exact"/>
              <w:jc w:val="right"/>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528</w:t>
            </w:r>
          </w:p>
        </w:tc>
        <w:tc>
          <w:tcPr>
            <w:tcW w:w="440" w:type="dxa"/>
            <w:shd w:val="clear" w:color="auto" w:fill="auto"/>
            <w:vAlign w:val="center"/>
          </w:tcPr>
          <w:p w14:paraId="03CE4812">
            <w:pPr>
              <w:pageBreakBefore w:val="0"/>
              <w:widowControl/>
              <w:kinsoku/>
              <w:wordWrap/>
              <w:overflowPunct/>
              <w:topLinePunct w:val="0"/>
              <w:bidi w:val="0"/>
              <w:spacing w:line="360" w:lineRule="exact"/>
              <w:jc w:val="right"/>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444</w:t>
            </w:r>
          </w:p>
        </w:tc>
        <w:tc>
          <w:tcPr>
            <w:tcW w:w="450" w:type="dxa"/>
            <w:shd w:val="clear" w:color="auto" w:fill="auto"/>
            <w:vAlign w:val="center"/>
          </w:tcPr>
          <w:p w14:paraId="37403C24">
            <w:pPr>
              <w:pageBreakBefore w:val="0"/>
              <w:widowControl/>
              <w:kinsoku/>
              <w:wordWrap/>
              <w:overflowPunct/>
              <w:topLinePunct w:val="0"/>
              <w:bidi w:val="0"/>
              <w:spacing w:line="360" w:lineRule="exact"/>
              <w:jc w:val="right"/>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428</w:t>
            </w:r>
          </w:p>
        </w:tc>
        <w:tc>
          <w:tcPr>
            <w:tcW w:w="452" w:type="dxa"/>
            <w:shd w:val="clear" w:color="auto" w:fill="auto"/>
            <w:vAlign w:val="center"/>
          </w:tcPr>
          <w:p w14:paraId="4F84831D">
            <w:pPr>
              <w:pageBreakBefore w:val="0"/>
              <w:widowControl/>
              <w:kinsoku/>
              <w:wordWrap/>
              <w:overflowPunct/>
              <w:topLinePunct w:val="0"/>
              <w:bidi w:val="0"/>
              <w:spacing w:line="360" w:lineRule="exact"/>
              <w:jc w:val="right"/>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392</w:t>
            </w:r>
          </w:p>
        </w:tc>
        <w:tc>
          <w:tcPr>
            <w:tcW w:w="462" w:type="dxa"/>
            <w:vAlign w:val="center"/>
          </w:tcPr>
          <w:p w14:paraId="6EA48CF6">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kern w:val="0"/>
                <w:sz w:val="18"/>
                <w:szCs w:val="18"/>
                <w:lang w:val="en-US" w:eastAsia="zh-CN"/>
              </w:rPr>
              <w:t>468</w:t>
            </w:r>
          </w:p>
        </w:tc>
        <w:tc>
          <w:tcPr>
            <w:tcW w:w="450" w:type="dxa"/>
            <w:vAlign w:val="center"/>
          </w:tcPr>
          <w:p w14:paraId="375C6E22">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kern w:val="0"/>
                <w:sz w:val="18"/>
                <w:szCs w:val="18"/>
                <w:lang w:val="en-US" w:eastAsia="zh-CN"/>
              </w:rPr>
              <w:t>468</w:t>
            </w:r>
          </w:p>
        </w:tc>
        <w:tc>
          <w:tcPr>
            <w:tcW w:w="474" w:type="dxa"/>
            <w:vAlign w:val="center"/>
          </w:tcPr>
          <w:p w14:paraId="6428AD3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5E8875A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bl>
    <w:p w14:paraId="2A87BD15">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5D7CADF1">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294D8670">
      <w:pPr>
        <w:pageBreakBefore w:val="0"/>
        <w:kinsoku/>
        <w:wordWrap/>
        <w:overflowPunct/>
        <w:topLinePunct w:val="0"/>
        <w:bidi w:val="0"/>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3.课程类型：A类（纯理论课）/B类（（理论＋实践）课）/C类（纯实践课）。</w:t>
      </w:r>
    </w:p>
    <w:p w14:paraId="383CA252">
      <w:pPr>
        <w:pStyle w:val="2"/>
        <w:pageBreakBefore w:val="0"/>
        <w:kinsoku/>
        <w:wordWrap/>
        <w:overflowPunct/>
        <w:topLinePunct w:val="0"/>
        <w:bidi w:val="0"/>
        <w:spacing w:after="0" w:line="360" w:lineRule="exact"/>
        <w:ind w:firstLine="420" w:firstLineChars="200"/>
        <w:rPr>
          <w:rFonts w:ascii="宋体" w:hAnsi="宋体"/>
          <w:color w:val="000000"/>
          <w:szCs w:val="21"/>
        </w:rPr>
      </w:pPr>
      <w:r>
        <w:rPr>
          <w:rFonts w:hint="eastAsia" w:ascii="宋体" w:hAnsi="宋体"/>
          <w:szCs w:val="21"/>
        </w:rPr>
        <w:t>4.</w:t>
      </w:r>
      <w:r>
        <w:rPr>
          <w:rFonts w:hint="eastAsia" w:ascii="宋体" w:hAnsi="宋体"/>
          <w:color w:val="000000"/>
          <w:szCs w:val="21"/>
        </w:rPr>
        <w:t>公共选修课从《公共选修课清单》中任选，不低于4门。</w:t>
      </w:r>
    </w:p>
    <w:p w14:paraId="0DCB26FF">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s="宋体"/>
          <w:lang w:val="en-US" w:eastAsia="zh-CN"/>
        </w:rPr>
        <w:t>5</w:t>
      </w:r>
      <w:r>
        <w:rPr>
          <w:rFonts w:hint="eastAsia" w:ascii="宋体" w:hAnsi="宋体" w:cs="宋体"/>
        </w:rPr>
        <w:t>.专业拓展课</w:t>
      </w:r>
      <w:r>
        <w:rPr>
          <w:rFonts w:hint="eastAsia" w:ascii="宋体" w:hAnsi="宋体" w:cs="宋体"/>
          <w:lang w:val="en-US" w:eastAsia="zh-CN"/>
        </w:rPr>
        <w:t>10</w:t>
      </w:r>
      <w:r>
        <w:rPr>
          <w:rFonts w:hint="eastAsia" w:ascii="宋体" w:hAnsi="宋体" w:cs="宋体"/>
        </w:rPr>
        <w:t>选5门。</w:t>
      </w:r>
    </w:p>
    <w:p w14:paraId="2E04632C">
      <w:pPr>
        <w:pageBreakBefore w:val="0"/>
        <w:kinsoku/>
        <w:wordWrap/>
        <w:overflowPunct/>
        <w:topLinePunct w:val="0"/>
        <w:bidi w:val="0"/>
        <w:spacing w:line="360" w:lineRule="exact"/>
        <w:ind w:left="420" w:leftChars="200"/>
        <w:rPr>
          <w:rFonts w:hint="eastAsia"/>
          <w:b/>
          <w:bCs/>
        </w:rPr>
      </w:pPr>
    </w:p>
    <w:p w14:paraId="2F5E662E">
      <w:pPr>
        <w:pageBreakBefore w:val="0"/>
        <w:kinsoku/>
        <w:wordWrap/>
        <w:overflowPunct/>
        <w:topLinePunct w:val="0"/>
        <w:bidi w:val="0"/>
        <w:spacing w:line="360" w:lineRule="exact"/>
        <w:ind w:left="420" w:leftChars="200"/>
        <w:rPr>
          <w:b/>
          <w:bCs/>
        </w:rPr>
      </w:pPr>
      <w:r>
        <w:rPr>
          <w:rFonts w:hint="eastAsia"/>
          <w:b/>
          <w:bCs/>
        </w:rPr>
        <w:t>（四）教学学时分配表</w:t>
      </w:r>
    </w:p>
    <w:tbl>
      <w:tblPr>
        <w:tblStyle w:val="14"/>
        <w:tblW w:w="428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1"/>
        <w:gridCol w:w="3748"/>
        <w:gridCol w:w="1075"/>
        <w:gridCol w:w="1333"/>
      </w:tblGrid>
      <w:tr w14:paraId="5F462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53" w:type="pct"/>
            <w:gridSpan w:val="2"/>
            <w:vAlign w:val="center"/>
          </w:tcPr>
          <w:p w14:paraId="04D31E3D">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项目</w:t>
            </w:r>
          </w:p>
        </w:tc>
        <w:tc>
          <w:tcPr>
            <w:tcW w:w="690" w:type="pct"/>
            <w:vAlign w:val="center"/>
          </w:tcPr>
          <w:p w14:paraId="0E02F1A1">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学时数</w:t>
            </w:r>
          </w:p>
        </w:tc>
        <w:tc>
          <w:tcPr>
            <w:tcW w:w="856" w:type="pct"/>
            <w:vAlign w:val="center"/>
          </w:tcPr>
          <w:p w14:paraId="51B19336">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百分比</w:t>
            </w:r>
          </w:p>
        </w:tc>
      </w:tr>
      <w:tr w14:paraId="21B7A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387C7715">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2405" w:type="pct"/>
            <w:vAlign w:val="center"/>
          </w:tcPr>
          <w:p w14:paraId="58551D79">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690" w:type="pct"/>
            <w:vAlign w:val="center"/>
          </w:tcPr>
          <w:p w14:paraId="6CFDED12">
            <w:pPr>
              <w:pageBreakBefore w:val="0"/>
              <w:tabs>
                <w:tab w:val="left" w:pos="310"/>
              </w:tabs>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498</w:t>
            </w:r>
          </w:p>
        </w:tc>
        <w:tc>
          <w:tcPr>
            <w:tcW w:w="856" w:type="pct"/>
            <w:vAlign w:val="center"/>
          </w:tcPr>
          <w:p w14:paraId="78705E1E">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18.26%</w:t>
            </w:r>
          </w:p>
        </w:tc>
      </w:tr>
      <w:tr w14:paraId="4E3F9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7C2CF370">
            <w:pPr>
              <w:pStyle w:val="2"/>
              <w:pageBreakBefore w:val="0"/>
              <w:kinsoku/>
              <w:wordWrap/>
              <w:overflowPunct/>
              <w:topLinePunct w:val="0"/>
              <w:bidi w:val="0"/>
              <w:spacing w:after="0" w:line="360" w:lineRule="exact"/>
              <w:jc w:val="center"/>
              <w:rPr>
                <w:rFonts w:ascii="宋体" w:hAnsi="宋体" w:cs="宋体"/>
                <w:sz w:val="18"/>
                <w:szCs w:val="18"/>
              </w:rPr>
            </w:pPr>
          </w:p>
        </w:tc>
        <w:tc>
          <w:tcPr>
            <w:tcW w:w="2405" w:type="pct"/>
            <w:vAlign w:val="center"/>
          </w:tcPr>
          <w:p w14:paraId="5EA0880D">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690" w:type="pct"/>
            <w:vAlign w:val="center"/>
          </w:tcPr>
          <w:p w14:paraId="5CD72514">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420</w:t>
            </w:r>
          </w:p>
        </w:tc>
        <w:tc>
          <w:tcPr>
            <w:tcW w:w="856" w:type="pct"/>
            <w:vAlign w:val="center"/>
          </w:tcPr>
          <w:p w14:paraId="3A1AE668">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15.40%</w:t>
            </w:r>
          </w:p>
        </w:tc>
      </w:tr>
      <w:tr w14:paraId="4D701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42928F03">
            <w:pPr>
              <w:pStyle w:val="2"/>
              <w:pageBreakBefore w:val="0"/>
              <w:kinsoku/>
              <w:wordWrap/>
              <w:overflowPunct/>
              <w:topLinePunct w:val="0"/>
              <w:bidi w:val="0"/>
              <w:spacing w:after="0" w:line="360" w:lineRule="exact"/>
              <w:jc w:val="center"/>
              <w:rPr>
                <w:rFonts w:ascii="宋体" w:hAnsi="宋体" w:cs="宋体"/>
                <w:sz w:val="18"/>
                <w:szCs w:val="18"/>
              </w:rPr>
            </w:pPr>
          </w:p>
        </w:tc>
        <w:tc>
          <w:tcPr>
            <w:tcW w:w="2405" w:type="pct"/>
            <w:vAlign w:val="center"/>
          </w:tcPr>
          <w:p w14:paraId="076DD7EE">
            <w:pPr>
              <w:pageBreakBefore w:val="0"/>
              <w:kinsoku/>
              <w:wordWrap/>
              <w:overflowPunct/>
              <w:topLinePunct w:val="0"/>
              <w:autoSpaceDE w:val="0"/>
              <w:autoSpaceDN w:val="0"/>
              <w:bidi w:val="0"/>
              <w:spacing w:line="360" w:lineRule="exact"/>
              <w:jc w:val="center"/>
              <w:rPr>
                <w:rFonts w:hint="eastAsia" w:ascii="宋体" w:hAnsi="宋体" w:cs="宋体"/>
                <w:sz w:val="18"/>
                <w:szCs w:val="18"/>
              </w:rPr>
            </w:pPr>
            <w:r>
              <w:rPr>
                <w:rFonts w:hint="eastAsia" w:ascii="宋体" w:hAnsi="宋体" w:cs="宋体"/>
                <w:sz w:val="18"/>
                <w:szCs w:val="18"/>
              </w:rPr>
              <w:t>其它</w:t>
            </w:r>
          </w:p>
        </w:tc>
        <w:tc>
          <w:tcPr>
            <w:tcW w:w="690" w:type="pct"/>
            <w:vAlign w:val="center"/>
          </w:tcPr>
          <w:p w14:paraId="1FABE3DB">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80</w:t>
            </w:r>
          </w:p>
        </w:tc>
        <w:tc>
          <w:tcPr>
            <w:tcW w:w="856" w:type="pct"/>
            <w:vAlign w:val="center"/>
          </w:tcPr>
          <w:p w14:paraId="6B073DCC">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2.93%</w:t>
            </w:r>
          </w:p>
        </w:tc>
      </w:tr>
      <w:tr w14:paraId="7F95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6351B96B">
            <w:pPr>
              <w:pStyle w:val="2"/>
              <w:pageBreakBefore w:val="0"/>
              <w:kinsoku/>
              <w:wordWrap/>
              <w:overflowPunct/>
              <w:topLinePunct w:val="0"/>
              <w:bidi w:val="0"/>
              <w:spacing w:after="0" w:line="360" w:lineRule="exact"/>
              <w:jc w:val="center"/>
              <w:rPr>
                <w:rFonts w:ascii="宋体" w:hAnsi="宋体" w:cs="宋体"/>
                <w:sz w:val="18"/>
                <w:szCs w:val="18"/>
              </w:rPr>
            </w:pPr>
          </w:p>
        </w:tc>
        <w:tc>
          <w:tcPr>
            <w:tcW w:w="2405" w:type="pct"/>
            <w:vAlign w:val="center"/>
          </w:tcPr>
          <w:p w14:paraId="0736D73D">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90" w:type="pct"/>
            <w:vAlign w:val="center"/>
          </w:tcPr>
          <w:p w14:paraId="0D618ED9">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998</w:t>
            </w:r>
          </w:p>
        </w:tc>
        <w:tc>
          <w:tcPr>
            <w:tcW w:w="856" w:type="pct"/>
            <w:vAlign w:val="center"/>
          </w:tcPr>
          <w:p w14:paraId="3764832B">
            <w:pPr>
              <w:pStyle w:val="21"/>
              <w:pageBreakBefore w:val="0"/>
              <w:kinsoku/>
              <w:wordWrap/>
              <w:overflowPunct/>
              <w:topLinePunct w:val="0"/>
              <w:bidi w:val="0"/>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36.58%</w:t>
            </w:r>
          </w:p>
        </w:tc>
      </w:tr>
      <w:tr w14:paraId="5E27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374C9423">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2405" w:type="pct"/>
            <w:vAlign w:val="center"/>
          </w:tcPr>
          <w:p w14:paraId="5B113E57">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690" w:type="pct"/>
            <w:vAlign w:val="center"/>
          </w:tcPr>
          <w:p w14:paraId="3836541B">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366</w:t>
            </w:r>
          </w:p>
        </w:tc>
        <w:tc>
          <w:tcPr>
            <w:tcW w:w="856" w:type="pct"/>
            <w:vAlign w:val="center"/>
          </w:tcPr>
          <w:p w14:paraId="20E3D6ED">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13.42%</w:t>
            </w:r>
          </w:p>
        </w:tc>
      </w:tr>
      <w:tr w14:paraId="2C562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17415E25">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405" w:type="pct"/>
            <w:vAlign w:val="center"/>
          </w:tcPr>
          <w:p w14:paraId="7EA49CF3">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690" w:type="pct"/>
            <w:vAlign w:val="center"/>
          </w:tcPr>
          <w:p w14:paraId="357EAEB5">
            <w:pPr>
              <w:pageBreakBefore w:val="0"/>
              <w:tabs>
                <w:tab w:val="left" w:pos="598"/>
              </w:tabs>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348</w:t>
            </w:r>
          </w:p>
        </w:tc>
        <w:tc>
          <w:tcPr>
            <w:tcW w:w="856" w:type="pct"/>
            <w:vAlign w:val="center"/>
          </w:tcPr>
          <w:p w14:paraId="519215CA">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12.76%</w:t>
            </w:r>
          </w:p>
        </w:tc>
      </w:tr>
      <w:tr w14:paraId="3E2A7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5D707920">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405" w:type="pct"/>
            <w:vAlign w:val="center"/>
          </w:tcPr>
          <w:p w14:paraId="2D15F2C8">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其它</w:t>
            </w:r>
          </w:p>
        </w:tc>
        <w:tc>
          <w:tcPr>
            <w:tcW w:w="690" w:type="pct"/>
            <w:vAlign w:val="center"/>
          </w:tcPr>
          <w:p w14:paraId="405EF453">
            <w:pPr>
              <w:pStyle w:val="21"/>
              <w:pageBreakBefore w:val="0"/>
              <w:kinsoku/>
              <w:wordWrap/>
              <w:overflowPunct/>
              <w:topLinePunct w:val="0"/>
              <w:bidi w:val="0"/>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1016</w:t>
            </w:r>
          </w:p>
        </w:tc>
        <w:tc>
          <w:tcPr>
            <w:tcW w:w="856" w:type="pct"/>
            <w:vAlign w:val="center"/>
          </w:tcPr>
          <w:p w14:paraId="65F74BB2">
            <w:pPr>
              <w:pStyle w:val="21"/>
              <w:pageBreakBefore w:val="0"/>
              <w:kinsoku/>
              <w:wordWrap/>
              <w:overflowPunct/>
              <w:topLinePunct w:val="0"/>
              <w:bidi w:val="0"/>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37.24%</w:t>
            </w:r>
          </w:p>
        </w:tc>
      </w:tr>
      <w:tr w14:paraId="414B2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1D93C02A">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405" w:type="pct"/>
            <w:vAlign w:val="center"/>
          </w:tcPr>
          <w:p w14:paraId="5270DBEF">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90" w:type="pct"/>
            <w:vAlign w:val="center"/>
          </w:tcPr>
          <w:p w14:paraId="31BDAB8F">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1730</w:t>
            </w:r>
          </w:p>
        </w:tc>
        <w:tc>
          <w:tcPr>
            <w:tcW w:w="856" w:type="pct"/>
            <w:vAlign w:val="center"/>
          </w:tcPr>
          <w:p w14:paraId="7915F4D7">
            <w:pPr>
              <w:pStyle w:val="21"/>
              <w:pageBreakBefore w:val="0"/>
              <w:kinsoku/>
              <w:wordWrap/>
              <w:overflowPunct/>
              <w:topLinePunct w:val="0"/>
              <w:bidi w:val="0"/>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63.42%</w:t>
            </w:r>
          </w:p>
        </w:tc>
      </w:tr>
      <w:tr w14:paraId="6CB76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788B9472">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2405" w:type="pct"/>
            <w:vAlign w:val="center"/>
          </w:tcPr>
          <w:p w14:paraId="3D4C0019">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690" w:type="pct"/>
            <w:vAlign w:val="center"/>
          </w:tcPr>
          <w:p w14:paraId="295678D1">
            <w:pPr>
              <w:pageBreakBefore w:val="0"/>
              <w:tabs>
                <w:tab w:val="left" w:pos="448"/>
              </w:tabs>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64</w:t>
            </w:r>
          </w:p>
        </w:tc>
        <w:tc>
          <w:tcPr>
            <w:tcW w:w="856" w:type="pct"/>
            <w:vAlign w:val="center"/>
          </w:tcPr>
          <w:p w14:paraId="7B8D116B">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2.35%</w:t>
            </w:r>
          </w:p>
        </w:tc>
      </w:tr>
      <w:tr w14:paraId="01A58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047" w:type="pct"/>
            <w:vMerge w:val="continue"/>
            <w:vAlign w:val="center"/>
          </w:tcPr>
          <w:p w14:paraId="3C658292">
            <w:pPr>
              <w:pStyle w:val="2"/>
              <w:pageBreakBefore w:val="0"/>
              <w:kinsoku/>
              <w:wordWrap/>
              <w:overflowPunct/>
              <w:topLinePunct w:val="0"/>
              <w:bidi w:val="0"/>
              <w:spacing w:after="0" w:line="360" w:lineRule="exact"/>
              <w:jc w:val="center"/>
              <w:rPr>
                <w:rFonts w:ascii="宋体" w:hAnsi="宋体" w:cs="宋体"/>
                <w:sz w:val="18"/>
                <w:szCs w:val="18"/>
              </w:rPr>
            </w:pPr>
          </w:p>
        </w:tc>
        <w:tc>
          <w:tcPr>
            <w:tcW w:w="2405" w:type="pct"/>
            <w:vAlign w:val="center"/>
          </w:tcPr>
          <w:p w14:paraId="39650206">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公共基础任选课程学时</w:t>
            </w:r>
          </w:p>
        </w:tc>
        <w:tc>
          <w:tcPr>
            <w:tcW w:w="690" w:type="pct"/>
            <w:vAlign w:val="center"/>
          </w:tcPr>
          <w:p w14:paraId="519B28B2">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64</w:t>
            </w:r>
          </w:p>
        </w:tc>
        <w:tc>
          <w:tcPr>
            <w:tcW w:w="856" w:type="pct"/>
            <w:vAlign w:val="center"/>
          </w:tcPr>
          <w:p w14:paraId="0CA49AC8">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2.35%</w:t>
            </w:r>
          </w:p>
        </w:tc>
      </w:tr>
      <w:tr w14:paraId="6EBC7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1E00956F">
            <w:pPr>
              <w:pStyle w:val="2"/>
              <w:pageBreakBefore w:val="0"/>
              <w:kinsoku/>
              <w:wordWrap/>
              <w:overflowPunct/>
              <w:topLinePunct w:val="0"/>
              <w:bidi w:val="0"/>
              <w:spacing w:after="0" w:line="360" w:lineRule="exact"/>
              <w:jc w:val="center"/>
              <w:rPr>
                <w:rFonts w:ascii="宋体" w:hAnsi="宋体" w:cs="宋体"/>
                <w:sz w:val="18"/>
                <w:szCs w:val="18"/>
              </w:rPr>
            </w:pPr>
          </w:p>
        </w:tc>
        <w:tc>
          <w:tcPr>
            <w:tcW w:w="2405" w:type="pct"/>
            <w:vAlign w:val="center"/>
          </w:tcPr>
          <w:p w14:paraId="61F249A3">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专业拓展（限选）课程学时</w:t>
            </w:r>
          </w:p>
        </w:tc>
        <w:tc>
          <w:tcPr>
            <w:tcW w:w="690" w:type="pct"/>
            <w:vAlign w:val="center"/>
          </w:tcPr>
          <w:p w14:paraId="1841A154">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160</w:t>
            </w:r>
          </w:p>
        </w:tc>
        <w:tc>
          <w:tcPr>
            <w:tcW w:w="856" w:type="pct"/>
            <w:vAlign w:val="center"/>
          </w:tcPr>
          <w:p w14:paraId="4C80C0A3">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5.87%</w:t>
            </w:r>
          </w:p>
        </w:tc>
      </w:tr>
      <w:tr w14:paraId="0BA30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70656CFB">
            <w:pPr>
              <w:pStyle w:val="2"/>
              <w:pageBreakBefore w:val="0"/>
              <w:kinsoku/>
              <w:wordWrap/>
              <w:overflowPunct/>
              <w:topLinePunct w:val="0"/>
              <w:bidi w:val="0"/>
              <w:spacing w:after="0" w:line="360" w:lineRule="exact"/>
              <w:jc w:val="center"/>
              <w:rPr>
                <w:rFonts w:ascii="宋体" w:hAnsi="宋体" w:cs="宋体"/>
                <w:sz w:val="18"/>
                <w:szCs w:val="18"/>
              </w:rPr>
            </w:pPr>
          </w:p>
        </w:tc>
        <w:tc>
          <w:tcPr>
            <w:tcW w:w="2405" w:type="pct"/>
            <w:vAlign w:val="center"/>
          </w:tcPr>
          <w:p w14:paraId="556E2A9A">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90" w:type="pct"/>
            <w:vAlign w:val="center"/>
          </w:tcPr>
          <w:p w14:paraId="26B1E2A2">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288</w:t>
            </w:r>
          </w:p>
        </w:tc>
        <w:tc>
          <w:tcPr>
            <w:tcW w:w="856" w:type="pct"/>
            <w:vAlign w:val="center"/>
          </w:tcPr>
          <w:p w14:paraId="101AC2E4">
            <w:pPr>
              <w:pStyle w:val="21"/>
              <w:pageBreakBefore w:val="0"/>
              <w:kinsoku/>
              <w:wordWrap/>
              <w:overflowPunct/>
              <w:topLinePunct w:val="0"/>
              <w:bidi w:val="0"/>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10.56%</w:t>
            </w:r>
          </w:p>
        </w:tc>
      </w:tr>
      <w:tr w14:paraId="05212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4143" w:type="pct"/>
            <w:gridSpan w:val="3"/>
            <w:tcBorders>
              <w:right w:val="single" w:color="auto" w:sz="4" w:space="0"/>
            </w:tcBorders>
            <w:vAlign w:val="center"/>
          </w:tcPr>
          <w:p w14:paraId="1712FFA5">
            <w:pPr>
              <w:pageBreakBefore w:val="0"/>
              <w:kinsoku/>
              <w:wordWrap/>
              <w:overflowPunct/>
              <w:topLinePunct w:val="0"/>
              <w:autoSpaceDE w:val="0"/>
              <w:autoSpaceDN w:val="0"/>
              <w:bidi w:val="0"/>
              <w:spacing w:line="360" w:lineRule="exact"/>
              <w:ind w:firstLine="420"/>
              <w:jc w:val="center"/>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856" w:type="pct"/>
            <w:tcBorders>
              <w:left w:val="single" w:color="auto" w:sz="4" w:space="0"/>
            </w:tcBorders>
          </w:tcPr>
          <w:p w14:paraId="7487F092">
            <w:pPr>
              <w:pageBreakBefore w:val="0"/>
              <w:kinsoku/>
              <w:wordWrap/>
              <w:overflowPunct/>
              <w:topLinePunct w:val="0"/>
              <w:bidi w:val="0"/>
              <w:spacing w:line="360" w:lineRule="exact"/>
              <w:ind w:firstLine="408"/>
              <w:rPr>
                <w:rFonts w:hint="default" w:ascii="宋体" w:hAnsi="宋体" w:eastAsia="宋体" w:cs="宋体"/>
                <w:sz w:val="18"/>
                <w:szCs w:val="18"/>
                <w:lang w:val="en-US" w:eastAsia="zh-CN"/>
              </w:rPr>
            </w:pPr>
            <w:r>
              <w:rPr>
                <w:rFonts w:hint="eastAsia" w:ascii="宋体" w:hAnsi="宋体" w:cs="宋体"/>
                <w:sz w:val="18"/>
                <w:szCs w:val="18"/>
                <w:lang w:val="en-US" w:eastAsia="zh-CN"/>
              </w:rPr>
              <w:t>2728</w:t>
            </w:r>
          </w:p>
        </w:tc>
      </w:tr>
    </w:tbl>
    <w:p w14:paraId="390AFF2B">
      <w:pPr>
        <w:pStyle w:val="4"/>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572E7C52">
      <w:pPr>
        <w:pageBreakBefore w:val="0"/>
        <w:kinsoku/>
        <w:wordWrap/>
        <w:overflowPunct/>
        <w:topLinePunct w:val="0"/>
        <w:bidi w:val="0"/>
        <w:spacing w:line="360" w:lineRule="exact"/>
        <w:jc w:val="center"/>
        <w:rPr>
          <w:b/>
          <w:bCs/>
          <w:szCs w:val="21"/>
        </w:rPr>
      </w:pPr>
      <w:r>
        <w:rPr>
          <w:rFonts w:hint="eastAsia"/>
          <w:b/>
          <w:bCs/>
          <w:szCs w:val="21"/>
        </w:rPr>
        <w:t>公共选修课清单表</w:t>
      </w:r>
    </w:p>
    <w:tbl>
      <w:tblPr>
        <w:tblStyle w:val="19"/>
        <w:tblW w:w="77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5"/>
        <w:gridCol w:w="2957"/>
        <w:gridCol w:w="828"/>
        <w:gridCol w:w="887"/>
        <w:gridCol w:w="2562"/>
      </w:tblGrid>
      <w:tr w14:paraId="03737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vAlign w:val="center"/>
          </w:tcPr>
          <w:p w14:paraId="4CFCCAEA">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序号</w:t>
            </w:r>
          </w:p>
        </w:tc>
        <w:tc>
          <w:tcPr>
            <w:tcW w:w="2957" w:type="dxa"/>
            <w:tcBorders>
              <w:top w:val="single" w:color="000000" w:sz="6" w:space="0"/>
              <w:left w:val="single" w:color="000000" w:sz="6" w:space="0"/>
              <w:bottom w:val="single" w:color="000000" w:sz="6" w:space="0"/>
              <w:right w:val="single" w:color="000000" w:sz="6" w:space="0"/>
            </w:tcBorders>
            <w:vAlign w:val="center"/>
          </w:tcPr>
          <w:p w14:paraId="4EA1469D">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课程名称</w:t>
            </w:r>
          </w:p>
        </w:tc>
        <w:tc>
          <w:tcPr>
            <w:tcW w:w="828" w:type="dxa"/>
            <w:tcBorders>
              <w:top w:val="single" w:color="000000" w:sz="6" w:space="0"/>
              <w:left w:val="single" w:color="000000" w:sz="6" w:space="0"/>
              <w:bottom w:val="single" w:color="000000" w:sz="6" w:space="0"/>
              <w:right w:val="single" w:color="000000" w:sz="6" w:space="0"/>
            </w:tcBorders>
            <w:vAlign w:val="center"/>
          </w:tcPr>
          <w:p w14:paraId="7E6023AA">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学分</w:t>
            </w:r>
          </w:p>
        </w:tc>
        <w:tc>
          <w:tcPr>
            <w:tcW w:w="887" w:type="dxa"/>
            <w:tcBorders>
              <w:top w:val="single" w:color="000000" w:sz="6" w:space="0"/>
              <w:left w:val="single" w:color="000000" w:sz="6" w:space="0"/>
              <w:bottom w:val="single" w:color="000000" w:sz="6" w:space="0"/>
              <w:right w:val="single" w:color="000000" w:sz="6" w:space="0"/>
            </w:tcBorders>
            <w:vAlign w:val="center"/>
          </w:tcPr>
          <w:p w14:paraId="1C887108">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总学时</w:t>
            </w:r>
          </w:p>
        </w:tc>
        <w:tc>
          <w:tcPr>
            <w:tcW w:w="2562" w:type="dxa"/>
            <w:tcBorders>
              <w:top w:val="single" w:color="000000" w:sz="6" w:space="0"/>
              <w:left w:val="single" w:color="000000" w:sz="6" w:space="0"/>
              <w:bottom w:val="single" w:color="000000" w:sz="6" w:space="0"/>
              <w:right w:val="single" w:color="000000" w:sz="6" w:space="0"/>
            </w:tcBorders>
            <w:vAlign w:val="center"/>
          </w:tcPr>
          <w:p w14:paraId="19B888BE">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备注</w:t>
            </w:r>
          </w:p>
        </w:tc>
      </w:tr>
      <w:tr w14:paraId="30D4E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vAlign w:val="center"/>
          </w:tcPr>
          <w:p w14:paraId="41100D0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14ACF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22CE3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6B801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restart"/>
            <w:tcBorders>
              <w:top w:val="single" w:color="000000" w:sz="6" w:space="0"/>
              <w:left w:val="single" w:color="000000" w:sz="6" w:space="0"/>
              <w:right w:val="single" w:color="000000" w:sz="6" w:space="0"/>
            </w:tcBorders>
            <w:vAlign w:val="center"/>
          </w:tcPr>
          <w:p w14:paraId="4AB4A8AB">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8门课程任选2门</w:t>
            </w:r>
          </w:p>
          <w:p w14:paraId="009C414A">
            <w:pPr>
              <w:pageBreakBefore w:val="0"/>
              <w:kinsoku/>
              <w:wordWrap/>
              <w:overflowPunct/>
              <w:topLinePunct w:val="0"/>
              <w:autoSpaceDE w:val="0"/>
              <w:autoSpaceDN w:val="0"/>
              <w:bidi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34E99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vAlign w:val="center"/>
          </w:tcPr>
          <w:p w14:paraId="3913535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25D93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AD7E6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34CD8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594050DC">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6EE3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vAlign w:val="center"/>
          </w:tcPr>
          <w:p w14:paraId="48DF184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DCBEA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0320C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2CB64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07427EAA">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0976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vAlign w:val="center"/>
          </w:tcPr>
          <w:p w14:paraId="1D05370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746B3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B4A08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3C406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6AC63B06">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3A56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147F7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EDB76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44C3A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8C8FD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5D1546B4">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E1D3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C51B7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FF229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4D631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7F7DF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2D37FAA2">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4FAA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E29AC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12B5F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985E2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1BE20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1A92F1AB">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5EF9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0F8DE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4C605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610C5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16DFB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bottom w:val="single" w:color="000000" w:sz="6" w:space="0"/>
              <w:right w:val="single" w:color="000000" w:sz="6" w:space="0"/>
            </w:tcBorders>
            <w:vAlign w:val="center"/>
          </w:tcPr>
          <w:p w14:paraId="19A2CC28">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8E74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96034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69DEB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98539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46DB5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restart"/>
            <w:tcBorders>
              <w:top w:val="single" w:color="000000" w:sz="6" w:space="0"/>
              <w:left w:val="single" w:color="000000" w:sz="6" w:space="0"/>
              <w:right w:val="single" w:color="000000" w:sz="6" w:space="0"/>
            </w:tcBorders>
            <w:shd w:val="clear" w:color="auto" w:fill="auto"/>
            <w:vAlign w:val="center"/>
          </w:tcPr>
          <w:p w14:paraId="6ECC101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27119AB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08135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C5CA6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8AD54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61547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59D5D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0F4B210F">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A8DE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09523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8EDE1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EE1EE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C8BC0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0E709EB6">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21F1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414BB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BEA69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2E57E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32941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7C896118">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1B9B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1EE3D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28A3B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79FF6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61B81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01FCE51D">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8B3E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089DF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061A68">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99CAE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EC5E3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532112A3">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4194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6857F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E057BF">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39151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1AFB9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73D2B5E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05F84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388BB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43A63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11CB4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35B3D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5430BCF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1528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FE4B8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18C269">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46F82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CAEFC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310CC9BB">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0E81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52AE8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B24BE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2DDD7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ADD16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28D0A52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AF1E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5EA95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A053F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B8518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C2B37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4BC9164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F7BB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61086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E4497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C7318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11424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34484E8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D99B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B9314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F46510">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EA0E6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F53DD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36DF374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BD5C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89036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957" w:type="dxa"/>
            <w:tcBorders>
              <w:top w:val="single" w:color="000000" w:sz="6" w:space="0"/>
              <w:left w:val="single" w:color="000000" w:sz="6" w:space="0"/>
              <w:bottom w:val="single" w:color="000000" w:sz="6" w:space="0"/>
              <w:right w:val="single" w:color="000000" w:sz="6" w:space="0"/>
            </w:tcBorders>
            <w:vAlign w:val="center"/>
          </w:tcPr>
          <w:p w14:paraId="07BF735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828" w:type="dxa"/>
            <w:tcBorders>
              <w:top w:val="single" w:color="000000" w:sz="6" w:space="0"/>
              <w:left w:val="single" w:color="000000" w:sz="6" w:space="0"/>
              <w:bottom w:val="single" w:color="000000" w:sz="6" w:space="0"/>
              <w:right w:val="single" w:color="000000" w:sz="6" w:space="0"/>
            </w:tcBorders>
            <w:vAlign w:val="center"/>
          </w:tcPr>
          <w:p w14:paraId="684AA9C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06DF9FD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03BB7A2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62D0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5F7C3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957" w:type="dxa"/>
            <w:tcBorders>
              <w:top w:val="single" w:color="000000" w:sz="6" w:space="0"/>
              <w:left w:val="single" w:color="000000" w:sz="6" w:space="0"/>
              <w:bottom w:val="single" w:color="000000" w:sz="6" w:space="0"/>
              <w:right w:val="single" w:color="000000" w:sz="6" w:space="0"/>
            </w:tcBorders>
            <w:vAlign w:val="center"/>
          </w:tcPr>
          <w:p w14:paraId="79E28AB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828" w:type="dxa"/>
            <w:tcBorders>
              <w:top w:val="single" w:color="000000" w:sz="6" w:space="0"/>
              <w:left w:val="single" w:color="000000" w:sz="6" w:space="0"/>
              <w:bottom w:val="single" w:color="000000" w:sz="6" w:space="0"/>
              <w:right w:val="single" w:color="000000" w:sz="6" w:space="0"/>
            </w:tcBorders>
            <w:vAlign w:val="center"/>
          </w:tcPr>
          <w:p w14:paraId="743DEFA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1E3F8C6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08ED45C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EB66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F2D27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957" w:type="dxa"/>
            <w:tcBorders>
              <w:top w:val="single" w:color="000000" w:sz="6" w:space="0"/>
              <w:left w:val="single" w:color="000000" w:sz="6" w:space="0"/>
              <w:bottom w:val="single" w:color="000000" w:sz="6" w:space="0"/>
              <w:right w:val="single" w:color="000000" w:sz="6" w:space="0"/>
            </w:tcBorders>
            <w:vAlign w:val="center"/>
          </w:tcPr>
          <w:p w14:paraId="5E1C5A7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828" w:type="dxa"/>
            <w:tcBorders>
              <w:top w:val="single" w:color="000000" w:sz="6" w:space="0"/>
              <w:left w:val="single" w:color="000000" w:sz="6" w:space="0"/>
              <w:bottom w:val="single" w:color="000000" w:sz="6" w:space="0"/>
              <w:right w:val="single" w:color="000000" w:sz="6" w:space="0"/>
            </w:tcBorders>
            <w:vAlign w:val="center"/>
          </w:tcPr>
          <w:p w14:paraId="5430ADF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69A9537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235339C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2624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4C25C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957" w:type="dxa"/>
            <w:tcBorders>
              <w:top w:val="single" w:color="000000" w:sz="6" w:space="0"/>
              <w:left w:val="single" w:color="000000" w:sz="6" w:space="0"/>
              <w:bottom w:val="single" w:color="000000" w:sz="6" w:space="0"/>
              <w:right w:val="single" w:color="000000" w:sz="6" w:space="0"/>
            </w:tcBorders>
            <w:vAlign w:val="center"/>
          </w:tcPr>
          <w:p w14:paraId="27E2669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828" w:type="dxa"/>
            <w:tcBorders>
              <w:top w:val="single" w:color="000000" w:sz="6" w:space="0"/>
              <w:left w:val="single" w:color="000000" w:sz="6" w:space="0"/>
              <w:bottom w:val="single" w:color="000000" w:sz="6" w:space="0"/>
              <w:right w:val="single" w:color="000000" w:sz="6" w:space="0"/>
            </w:tcBorders>
            <w:vAlign w:val="center"/>
          </w:tcPr>
          <w:p w14:paraId="377A466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1DE37DE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3264876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765F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10109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957" w:type="dxa"/>
            <w:tcBorders>
              <w:top w:val="single" w:color="000000" w:sz="6" w:space="0"/>
              <w:left w:val="single" w:color="000000" w:sz="6" w:space="0"/>
              <w:bottom w:val="single" w:color="000000" w:sz="6" w:space="0"/>
              <w:right w:val="single" w:color="000000" w:sz="6" w:space="0"/>
            </w:tcBorders>
            <w:vAlign w:val="center"/>
          </w:tcPr>
          <w:p w14:paraId="4F0DDB9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828" w:type="dxa"/>
            <w:tcBorders>
              <w:top w:val="single" w:color="000000" w:sz="6" w:space="0"/>
              <w:left w:val="single" w:color="000000" w:sz="6" w:space="0"/>
              <w:bottom w:val="single" w:color="000000" w:sz="6" w:space="0"/>
              <w:right w:val="single" w:color="000000" w:sz="6" w:space="0"/>
            </w:tcBorders>
            <w:vAlign w:val="center"/>
          </w:tcPr>
          <w:p w14:paraId="6B75A75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4A86449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29C240D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014E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F92E8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957" w:type="dxa"/>
            <w:tcBorders>
              <w:top w:val="single" w:color="000000" w:sz="6" w:space="0"/>
              <w:left w:val="single" w:color="000000" w:sz="6" w:space="0"/>
              <w:bottom w:val="single" w:color="000000" w:sz="6" w:space="0"/>
              <w:right w:val="single" w:color="000000" w:sz="6" w:space="0"/>
            </w:tcBorders>
            <w:vAlign w:val="center"/>
          </w:tcPr>
          <w:p w14:paraId="10B4632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828" w:type="dxa"/>
            <w:tcBorders>
              <w:top w:val="single" w:color="000000" w:sz="6" w:space="0"/>
              <w:left w:val="single" w:color="000000" w:sz="6" w:space="0"/>
              <w:bottom w:val="single" w:color="000000" w:sz="6" w:space="0"/>
              <w:right w:val="single" w:color="000000" w:sz="6" w:space="0"/>
            </w:tcBorders>
            <w:vAlign w:val="center"/>
          </w:tcPr>
          <w:p w14:paraId="00DDE35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6BED8BB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367E23E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00F4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0B447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957" w:type="dxa"/>
            <w:tcBorders>
              <w:top w:val="single" w:color="000000" w:sz="6" w:space="0"/>
              <w:left w:val="single" w:color="000000" w:sz="6" w:space="0"/>
              <w:bottom w:val="single" w:color="000000" w:sz="6" w:space="0"/>
              <w:right w:val="single" w:color="000000" w:sz="6" w:space="0"/>
            </w:tcBorders>
            <w:vAlign w:val="center"/>
          </w:tcPr>
          <w:p w14:paraId="2376F00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828" w:type="dxa"/>
            <w:tcBorders>
              <w:top w:val="single" w:color="000000" w:sz="6" w:space="0"/>
              <w:left w:val="single" w:color="000000" w:sz="6" w:space="0"/>
              <w:bottom w:val="single" w:color="000000" w:sz="6" w:space="0"/>
              <w:right w:val="single" w:color="000000" w:sz="6" w:space="0"/>
            </w:tcBorders>
            <w:vAlign w:val="center"/>
          </w:tcPr>
          <w:p w14:paraId="3E6D079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7F74EB2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16C49AE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F242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42CD8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957" w:type="dxa"/>
            <w:tcBorders>
              <w:top w:val="single" w:color="000000" w:sz="6" w:space="0"/>
              <w:left w:val="single" w:color="000000" w:sz="6" w:space="0"/>
              <w:bottom w:val="single" w:color="000000" w:sz="6" w:space="0"/>
              <w:right w:val="single" w:color="000000" w:sz="6" w:space="0"/>
            </w:tcBorders>
            <w:vAlign w:val="center"/>
          </w:tcPr>
          <w:p w14:paraId="4626856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828" w:type="dxa"/>
            <w:tcBorders>
              <w:top w:val="single" w:color="000000" w:sz="6" w:space="0"/>
              <w:left w:val="single" w:color="000000" w:sz="6" w:space="0"/>
              <w:bottom w:val="single" w:color="000000" w:sz="6" w:space="0"/>
              <w:right w:val="single" w:color="000000" w:sz="6" w:space="0"/>
            </w:tcBorders>
            <w:vAlign w:val="center"/>
          </w:tcPr>
          <w:p w14:paraId="4D43575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6D6B3D6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04D5965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1E81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06F4D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957" w:type="dxa"/>
            <w:tcBorders>
              <w:top w:val="single" w:color="000000" w:sz="6" w:space="0"/>
              <w:left w:val="single" w:color="000000" w:sz="6" w:space="0"/>
              <w:bottom w:val="single" w:color="000000" w:sz="6" w:space="0"/>
              <w:right w:val="single" w:color="000000" w:sz="6" w:space="0"/>
            </w:tcBorders>
            <w:vAlign w:val="center"/>
          </w:tcPr>
          <w:p w14:paraId="45B7D61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828" w:type="dxa"/>
            <w:tcBorders>
              <w:top w:val="single" w:color="000000" w:sz="6" w:space="0"/>
              <w:left w:val="single" w:color="000000" w:sz="6" w:space="0"/>
              <w:bottom w:val="single" w:color="000000" w:sz="6" w:space="0"/>
              <w:right w:val="single" w:color="000000" w:sz="6" w:space="0"/>
            </w:tcBorders>
            <w:vAlign w:val="center"/>
          </w:tcPr>
          <w:p w14:paraId="12ACC87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18CAB25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74EAA16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460A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268FE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957" w:type="dxa"/>
            <w:tcBorders>
              <w:top w:val="single" w:color="000000" w:sz="6" w:space="0"/>
              <w:left w:val="single" w:color="000000" w:sz="6" w:space="0"/>
              <w:bottom w:val="single" w:color="000000" w:sz="6" w:space="0"/>
              <w:right w:val="single" w:color="000000" w:sz="6" w:space="0"/>
            </w:tcBorders>
            <w:vAlign w:val="center"/>
          </w:tcPr>
          <w:p w14:paraId="42BC9A6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828" w:type="dxa"/>
            <w:tcBorders>
              <w:top w:val="single" w:color="000000" w:sz="6" w:space="0"/>
              <w:left w:val="single" w:color="000000" w:sz="6" w:space="0"/>
              <w:bottom w:val="single" w:color="000000" w:sz="6" w:space="0"/>
              <w:right w:val="single" w:color="000000" w:sz="6" w:space="0"/>
            </w:tcBorders>
            <w:vAlign w:val="center"/>
          </w:tcPr>
          <w:p w14:paraId="22FDA8C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76A033C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397B17A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E2C5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5E2AE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957" w:type="dxa"/>
            <w:tcBorders>
              <w:top w:val="single" w:color="000000" w:sz="6" w:space="0"/>
              <w:left w:val="single" w:color="000000" w:sz="6" w:space="0"/>
              <w:bottom w:val="single" w:color="000000" w:sz="6" w:space="0"/>
              <w:right w:val="single" w:color="000000" w:sz="6" w:space="0"/>
            </w:tcBorders>
            <w:vAlign w:val="center"/>
          </w:tcPr>
          <w:p w14:paraId="13DCE11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828" w:type="dxa"/>
            <w:tcBorders>
              <w:top w:val="single" w:color="000000" w:sz="6" w:space="0"/>
              <w:left w:val="single" w:color="000000" w:sz="6" w:space="0"/>
              <w:bottom w:val="single" w:color="000000" w:sz="6" w:space="0"/>
              <w:right w:val="single" w:color="000000" w:sz="6" w:space="0"/>
            </w:tcBorders>
            <w:vAlign w:val="center"/>
          </w:tcPr>
          <w:p w14:paraId="77C3821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1B22F22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6867D31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3D40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56023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957" w:type="dxa"/>
            <w:tcBorders>
              <w:top w:val="single" w:color="000000" w:sz="6" w:space="0"/>
              <w:left w:val="single" w:color="000000" w:sz="6" w:space="0"/>
              <w:bottom w:val="single" w:color="000000" w:sz="6" w:space="0"/>
              <w:right w:val="single" w:color="000000" w:sz="6" w:space="0"/>
            </w:tcBorders>
            <w:vAlign w:val="center"/>
          </w:tcPr>
          <w:p w14:paraId="4214303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828" w:type="dxa"/>
            <w:tcBorders>
              <w:top w:val="single" w:color="000000" w:sz="6" w:space="0"/>
              <w:left w:val="single" w:color="000000" w:sz="6" w:space="0"/>
              <w:bottom w:val="single" w:color="000000" w:sz="6" w:space="0"/>
              <w:right w:val="single" w:color="000000" w:sz="6" w:space="0"/>
            </w:tcBorders>
            <w:vAlign w:val="center"/>
          </w:tcPr>
          <w:p w14:paraId="149AE54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0600E88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bottom w:val="single" w:color="000000" w:sz="6" w:space="0"/>
              <w:right w:val="single" w:color="000000" w:sz="6" w:space="0"/>
            </w:tcBorders>
            <w:vAlign w:val="center"/>
          </w:tcPr>
          <w:p w14:paraId="68021A9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bl>
    <w:p w14:paraId="5C8C89FB">
      <w:pPr>
        <w:pStyle w:val="3"/>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八、实施保障</w:t>
      </w:r>
    </w:p>
    <w:p w14:paraId="6C3C6BE6">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07EDFC10">
      <w:pPr>
        <w:pageBreakBefore w:val="0"/>
        <w:kinsoku/>
        <w:wordWrap/>
        <w:overflowPunct/>
        <w:topLinePunct w:val="0"/>
        <w:bidi w:val="0"/>
        <w:adjustRightInd w:val="0"/>
        <w:snapToGrid w:val="0"/>
        <w:spacing w:line="360" w:lineRule="exact"/>
        <w:ind w:firstLine="422" w:firstLineChars="200"/>
        <w:rPr>
          <w:b/>
          <w:bCs/>
          <w:szCs w:val="21"/>
        </w:rPr>
      </w:pPr>
      <w:bookmarkStart w:id="51" w:name="_Toc10563"/>
      <w:bookmarkStart w:id="52" w:name="_Toc14624"/>
      <w:r>
        <w:rPr>
          <w:rFonts w:hint="eastAsia"/>
          <w:b/>
          <w:bCs/>
          <w:szCs w:val="21"/>
        </w:rPr>
        <w:t>（一）师资队伍</w:t>
      </w:r>
      <w:bookmarkEnd w:id="51"/>
      <w:bookmarkEnd w:id="52"/>
    </w:p>
    <w:p w14:paraId="7B2B323B">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ascii="宋体" w:hAnsi="宋体" w:cs="宋体"/>
          <w:szCs w:val="21"/>
        </w:rPr>
        <w:t>按照“四有好老师”“四个相统一”“四个引路人”的要求建设专业教师队伍，将师德师 风作为教师队伍建设的第一标准</w:t>
      </w:r>
      <w:r>
        <w:rPr>
          <w:rFonts w:hint="eastAsia" w:ascii="宋体" w:hAnsi="宋体" w:cs="宋体"/>
          <w:szCs w:val="21"/>
        </w:rPr>
        <w:t>。</w:t>
      </w:r>
    </w:p>
    <w:p w14:paraId="1114DC96">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 xml:space="preserve">1.队伍结构 </w:t>
      </w:r>
    </w:p>
    <w:p w14:paraId="73B05ABB">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按照“四有好老师”“四个相统一”“四个引路人”的要求，建设专业队伍，将师德师风作为教师队伍建设的第一标准。同时也加强教师能力建设，培养高质量高水平的教师队伍，提高教师职称水平，倡导双师型教师队伍建设。</w:t>
      </w:r>
    </w:p>
    <w:tbl>
      <w:tblPr>
        <w:tblStyle w:val="14"/>
        <w:tblW w:w="4778" w:type="pct"/>
        <w:jc w:val="center"/>
        <w:tblLayout w:type="autofit"/>
        <w:tblCellMar>
          <w:top w:w="0" w:type="dxa"/>
          <w:left w:w="108" w:type="dxa"/>
          <w:bottom w:w="0" w:type="dxa"/>
          <w:right w:w="108" w:type="dxa"/>
        </w:tblCellMar>
      </w:tblPr>
      <w:tblGrid>
        <w:gridCol w:w="1906"/>
        <w:gridCol w:w="1854"/>
        <w:gridCol w:w="1967"/>
        <w:gridCol w:w="1602"/>
        <w:gridCol w:w="1547"/>
      </w:tblGrid>
      <w:tr w14:paraId="6B3A8A29">
        <w:tblPrEx>
          <w:tblCellMar>
            <w:top w:w="0" w:type="dxa"/>
            <w:left w:w="108" w:type="dxa"/>
            <w:bottom w:w="0" w:type="dxa"/>
            <w:right w:w="108" w:type="dxa"/>
          </w:tblCellMar>
        </w:tblPrEx>
        <w:trPr>
          <w:trHeight w:val="418" w:hRule="atLeast"/>
          <w:jc w:val="center"/>
        </w:trPr>
        <w:tc>
          <w:tcPr>
            <w:tcW w:w="3226" w:type="pct"/>
            <w:gridSpan w:val="3"/>
            <w:tcBorders>
              <w:top w:val="single" w:color="000000" w:sz="4" w:space="0"/>
              <w:left w:val="single" w:color="000000" w:sz="4" w:space="0"/>
              <w:bottom w:val="single" w:color="000000" w:sz="4" w:space="0"/>
              <w:right w:val="single" w:color="auto" w:sz="4" w:space="0"/>
            </w:tcBorders>
            <w:vAlign w:val="center"/>
          </w:tcPr>
          <w:p w14:paraId="2CEA9749">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专业课程教师配置总数：24人</w:t>
            </w:r>
          </w:p>
        </w:tc>
        <w:tc>
          <w:tcPr>
            <w:tcW w:w="1773" w:type="pct"/>
            <w:gridSpan w:val="2"/>
            <w:tcBorders>
              <w:top w:val="single" w:color="000000" w:sz="4" w:space="0"/>
              <w:left w:val="single" w:color="auto" w:sz="4" w:space="0"/>
              <w:bottom w:val="single" w:color="000000" w:sz="4" w:space="0"/>
              <w:right w:val="single" w:color="000000" w:sz="4" w:space="0"/>
            </w:tcBorders>
            <w:vAlign w:val="center"/>
          </w:tcPr>
          <w:p w14:paraId="1100672B">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师生比：1:25</w:t>
            </w:r>
          </w:p>
        </w:tc>
      </w:tr>
      <w:tr w14:paraId="6455D2A9">
        <w:tblPrEx>
          <w:tblCellMar>
            <w:top w:w="0" w:type="dxa"/>
            <w:left w:w="108" w:type="dxa"/>
            <w:bottom w:w="0" w:type="dxa"/>
            <w:right w:w="108" w:type="dxa"/>
          </w:tblCellMar>
        </w:tblPrEx>
        <w:trPr>
          <w:trHeight w:val="360" w:hRule="atLeast"/>
          <w:jc w:val="center"/>
        </w:trPr>
        <w:tc>
          <w:tcPr>
            <w:tcW w:w="1074" w:type="pct"/>
            <w:tcBorders>
              <w:top w:val="single" w:color="000000" w:sz="4" w:space="0"/>
              <w:left w:val="single" w:color="000000" w:sz="4" w:space="0"/>
              <w:bottom w:val="single" w:color="000000" w:sz="4" w:space="0"/>
              <w:right w:val="single" w:color="auto" w:sz="4" w:space="0"/>
            </w:tcBorders>
            <w:vAlign w:val="center"/>
          </w:tcPr>
          <w:p w14:paraId="3CBC0236">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结构类型</w:t>
            </w:r>
          </w:p>
        </w:tc>
        <w:tc>
          <w:tcPr>
            <w:tcW w:w="1043" w:type="pct"/>
            <w:tcBorders>
              <w:top w:val="single" w:color="000000" w:sz="4" w:space="0"/>
              <w:left w:val="single" w:color="auto" w:sz="4" w:space="0"/>
              <w:bottom w:val="single" w:color="000000" w:sz="4" w:space="0"/>
              <w:right w:val="single" w:color="auto" w:sz="4" w:space="0"/>
            </w:tcBorders>
            <w:vAlign w:val="center"/>
          </w:tcPr>
          <w:p w14:paraId="713E2D9F">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类别</w:t>
            </w:r>
          </w:p>
        </w:tc>
        <w:tc>
          <w:tcPr>
            <w:tcW w:w="1108" w:type="pct"/>
            <w:tcBorders>
              <w:top w:val="single" w:color="000000" w:sz="4" w:space="0"/>
              <w:left w:val="single" w:color="auto" w:sz="4" w:space="0"/>
              <w:bottom w:val="single" w:color="000000" w:sz="4" w:space="0"/>
              <w:right w:val="single" w:color="000000" w:sz="4" w:space="0"/>
            </w:tcBorders>
            <w:vAlign w:val="center"/>
          </w:tcPr>
          <w:p w14:paraId="34555F15">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人数</w:t>
            </w:r>
          </w:p>
        </w:tc>
        <w:tc>
          <w:tcPr>
            <w:tcW w:w="902" w:type="pct"/>
            <w:tcBorders>
              <w:top w:val="single" w:color="000000" w:sz="4" w:space="0"/>
              <w:left w:val="single" w:color="000000" w:sz="4" w:space="0"/>
              <w:bottom w:val="single" w:color="000000" w:sz="4" w:space="0"/>
              <w:right w:val="single" w:color="000000" w:sz="4" w:space="0"/>
            </w:tcBorders>
            <w:vAlign w:val="center"/>
          </w:tcPr>
          <w:p w14:paraId="7EF0F19F">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比例（%)</w:t>
            </w:r>
          </w:p>
        </w:tc>
        <w:tc>
          <w:tcPr>
            <w:tcW w:w="871" w:type="pct"/>
            <w:tcBorders>
              <w:top w:val="single" w:color="000000" w:sz="4" w:space="0"/>
              <w:left w:val="single" w:color="000000" w:sz="4" w:space="0"/>
              <w:bottom w:val="single" w:color="000000" w:sz="4" w:space="0"/>
              <w:right w:val="single" w:color="000000" w:sz="4" w:space="0"/>
            </w:tcBorders>
            <w:vAlign w:val="center"/>
          </w:tcPr>
          <w:p w14:paraId="529F05C8">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备注</w:t>
            </w:r>
          </w:p>
        </w:tc>
      </w:tr>
      <w:tr w14:paraId="2E7C1C96">
        <w:tblPrEx>
          <w:tblCellMar>
            <w:top w:w="0" w:type="dxa"/>
            <w:left w:w="108" w:type="dxa"/>
            <w:bottom w:w="0" w:type="dxa"/>
            <w:right w:w="108" w:type="dxa"/>
          </w:tblCellMar>
        </w:tblPrEx>
        <w:trPr>
          <w:trHeight w:val="360" w:hRule="atLeast"/>
          <w:jc w:val="center"/>
        </w:trPr>
        <w:tc>
          <w:tcPr>
            <w:tcW w:w="1074" w:type="pct"/>
            <w:vMerge w:val="restart"/>
            <w:tcBorders>
              <w:top w:val="single" w:color="000000" w:sz="4" w:space="0"/>
              <w:left w:val="single" w:color="000000" w:sz="4" w:space="0"/>
              <w:bottom w:val="single" w:color="000000" w:sz="4" w:space="0"/>
              <w:right w:val="single" w:color="000000" w:sz="4" w:space="0"/>
            </w:tcBorders>
            <w:vAlign w:val="center"/>
          </w:tcPr>
          <w:p w14:paraId="2E93902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职称结构</w:t>
            </w:r>
          </w:p>
        </w:tc>
        <w:tc>
          <w:tcPr>
            <w:tcW w:w="1043" w:type="pct"/>
            <w:tcBorders>
              <w:top w:val="single" w:color="000000" w:sz="4" w:space="0"/>
              <w:left w:val="single" w:color="000000" w:sz="4" w:space="0"/>
              <w:bottom w:val="single" w:color="000000" w:sz="4" w:space="0"/>
              <w:right w:val="single" w:color="000000" w:sz="4" w:space="0"/>
            </w:tcBorders>
            <w:vAlign w:val="center"/>
          </w:tcPr>
          <w:p w14:paraId="3C06B91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教授</w:t>
            </w:r>
          </w:p>
        </w:tc>
        <w:tc>
          <w:tcPr>
            <w:tcW w:w="1108" w:type="pct"/>
            <w:tcBorders>
              <w:top w:val="single" w:color="000000" w:sz="4" w:space="0"/>
              <w:left w:val="single" w:color="000000" w:sz="4" w:space="0"/>
              <w:bottom w:val="single" w:color="000000" w:sz="4" w:space="0"/>
              <w:right w:val="single" w:color="000000" w:sz="4" w:space="0"/>
            </w:tcBorders>
            <w:vAlign w:val="center"/>
          </w:tcPr>
          <w:p w14:paraId="5BC96C3A">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1</w:t>
            </w:r>
          </w:p>
        </w:tc>
        <w:tc>
          <w:tcPr>
            <w:tcW w:w="902" w:type="pct"/>
            <w:tcBorders>
              <w:top w:val="single" w:color="000000" w:sz="4" w:space="0"/>
              <w:left w:val="single" w:color="000000" w:sz="4" w:space="0"/>
              <w:bottom w:val="single" w:color="000000" w:sz="4" w:space="0"/>
              <w:right w:val="single" w:color="000000" w:sz="4" w:space="0"/>
            </w:tcBorders>
            <w:vAlign w:val="center"/>
          </w:tcPr>
          <w:p w14:paraId="16C5E5AA">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4%</w:t>
            </w:r>
          </w:p>
        </w:tc>
        <w:tc>
          <w:tcPr>
            <w:tcW w:w="871" w:type="pct"/>
            <w:tcBorders>
              <w:top w:val="single" w:color="000000" w:sz="4" w:space="0"/>
              <w:left w:val="single" w:color="000000" w:sz="4" w:space="0"/>
              <w:bottom w:val="single" w:color="000000" w:sz="4" w:space="0"/>
              <w:right w:val="single" w:color="000000" w:sz="4" w:space="0"/>
            </w:tcBorders>
          </w:tcPr>
          <w:p w14:paraId="60997058">
            <w:pPr>
              <w:pageBreakBefore w:val="0"/>
              <w:kinsoku/>
              <w:wordWrap/>
              <w:overflowPunct/>
              <w:topLinePunct w:val="0"/>
              <w:bidi w:val="0"/>
              <w:spacing w:line="360" w:lineRule="exact"/>
              <w:jc w:val="center"/>
              <w:rPr>
                <w:rFonts w:ascii="宋体" w:hAnsi="宋体" w:cs="宋体"/>
                <w:sz w:val="18"/>
                <w:szCs w:val="18"/>
              </w:rPr>
            </w:pPr>
          </w:p>
        </w:tc>
      </w:tr>
      <w:tr w14:paraId="43E011F6">
        <w:tblPrEx>
          <w:tblCellMar>
            <w:top w:w="0" w:type="dxa"/>
            <w:left w:w="108" w:type="dxa"/>
            <w:bottom w:w="0" w:type="dxa"/>
            <w:right w:w="108" w:type="dxa"/>
          </w:tblCellMar>
        </w:tblPrEx>
        <w:trPr>
          <w:trHeight w:val="360" w:hRule="atLeast"/>
          <w:jc w:val="center"/>
        </w:trPr>
        <w:tc>
          <w:tcPr>
            <w:tcW w:w="1074" w:type="pct"/>
            <w:vMerge w:val="continue"/>
            <w:tcBorders>
              <w:top w:val="single" w:color="000000" w:sz="4" w:space="0"/>
              <w:left w:val="single" w:color="000000" w:sz="4" w:space="0"/>
              <w:bottom w:val="single" w:color="000000" w:sz="4" w:space="0"/>
              <w:right w:val="single" w:color="000000" w:sz="4" w:space="0"/>
            </w:tcBorders>
            <w:vAlign w:val="center"/>
          </w:tcPr>
          <w:p w14:paraId="4D2A2C01">
            <w:pPr>
              <w:pageBreakBefore w:val="0"/>
              <w:kinsoku/>
              <w:wordWrap/>
              <w:overflowPunct/>
              <w:topLinePunct w:val="0"/>
              <w:bidi w:val="0"/>
              <w:spacing w:line="360" w:lineRule="exact"/>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4E26A74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副教授</w:t>
            </w:r>
          </w:p>
        </w:tc>
        <w:tc>
          <w:tcPr>
            <w:tcW w:w="1108" w:type="pct"/>
            <w:tcBorders>
              <w:top w:val="single" w:color="000000" w:sz="4" w:space="0"/>
              <w:left w:val="single" w:color="000000" w:sz="4" w:space="0"/>
              <w:bottom w:val="single" w:color="000000" w:sz="4" w:space="0"/>
              <w:right w:val="single" w:color="000000" w:sz="4" w:space="0"/>
            </w:tcBorders>
            <w:vAlign w:val="center"/>
          </w:tcPr>
          <w:p w14:paraId="3437397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902" w:type="pct"/>
            <w:tcBorders>
              <w:top w:val="single" w:color="000000" w:sz="4" w:space="0"/>
              <w:left w:val="single" w:color="000000" w:sz="4" w:space="0"/>
              <w:bottom w:val="single" w:color="000000" w:sz="4" w:space="0"/>
              <w:right w:val="single" w:color="000000" w:sz="4" w:space="0"/>
            </w:tcBorders>
            <w:vAlign w:val="center"/>
          </w:tcPr>
          <w:p w14:paraId="57D98F2E">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16%</w:t>
            </w:r>
          </w:p>
        </w:tc>
        <w:tc>
          <w:tcPr>
            <w:tcW w:w="871" w:type="pct"/>
            <w:tcBorders>
              <w:top w:val="single" w:color="000000" w:sz="4" w:space="0"/>
              <w:left w:val="single" w:color="000000" w:sz="4" w:space="0"/>
              <w:bottom w:val="single" w:color="000000" w:sz="4" w:space="0"/>
              <w:right w:val="single" w:color="000000" w:sz="4" w:space="0"/>
            </w:tcBorders>
          </w:tcPr>
          <w:p w14:paraId="006BEF10">
            <w:pPr>
              <w:pageBreakBefore w:val="0"/>
              <w:kinsoku/>
              <w:wordWrap/>
              <w:overflowPunct/>
              <w:topLinePunct w:val="0"/>
              <w:bidi w:val="0"/>
              <w:spacing w:line="360" w:lineRule="exact"/>
              <w:jc w:val="center"/>
              <w:rPr>
                <w:rFonts w:ascii="宋体" w:hAnsi="宋体" w:cs="宋体"/>
                <w:sz w:val="18"/>
                <w:szCs w:val="18"/>
              </w:rPr>
            </w:pPr>
          </w:p>
        </w:tc>
      </w:tr>
      <w:tr w14:paraId="75F90474">
        <w:tblPrEx>
          <w:tblCellMar>
            <w:top w:w="0" w:type="dxa"/>
            <w:left w:w="108" w:type="dxa"/>
            <w:bottom w:w="0" w:type="dxa"/>
            <w:right w:w="108" w:type="dxa"/>
          </w:tblCellMar>
        </w:tblPrEx>
        <w:trPr>
          <w:trHeight w:val="360" w:hRule="atLeast"/>
          <w:jc w:val="center"/>
        </w:trPr>
        <w:tc>
          <w:tcPr>
            <w:tcW w:w="1074" w:type="pct"/>
            <w:vMerge w:val="continue"/>
            <w:tcBorders>
              <w:top w:val="single" w:color="000000" w:sz="4" w:space="0"/>
              <w:left w:val="single" w:color="000000" w:sz="4" w:space="0"/>
              <w:bottom w:val="single" w:color="000000" w:sz="4" w:space="0"/>
              <w:right w:val="single" w:color="000000" w:sz="4" w:space="0"/>
            </w:tcBorders>
            <w:vAlign w:val="center"/>
          </w:tcPr>
          <w:p w14:paraId="67E294E9">
            <w:pPr>
              <w:pageBreakBefore w:val="0"/>
              <w:kinsoku/>
              <w:wordWrap/>
              <w:overflowPunct/>
              <w:topLinePunct w:val="0"/>
              <w:bidi w:val="0"/>
              <w:spacing w:line="360" w:lineRule="exact"/>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7B4FFBF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讲师</w:t>
            </w:r>
          </w:p>
        </w:tc>
        <w:tc>
          <w:tcPr>
            <w:tcW w:w="1108" w:type="pct"/>
            <w:tcBorders>
              <w:top w:val="single" w:color="000000" w:sz="4" w:space="0"/>
              <w:left w:val="single" w:color="000000" w:sz="4" w:space="0"/>
              <w:bottom w:val="single" w:color="000000" w:sz="4" w:space="0"/>
              <w:right w:val="single" w:color="000000" w:sz="4" w:space="0"/>
            </w:tcBorders>
            <w:vAlign w:val="center"/>
          </w:tcPr>
          <w:p w14:paraId="07765E5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12</w:t>
            </w:r>
          </w:p>
        </w:tc>
        <w:tc>
          <w:tcPr>
            <w:tcW w:w="902" w:type="pct"/>
            <w:tcBorders>
              <w:top w:val="single" w:color="000000" w:sz="4" w:space="0"/>
              <w:left w:val="single" w:color="000000" w:sz="4" w:space="0"/>
              <w:bottom w:val="single" w:color="000000" w:sz="4" w:space="0"/>
              <w:right w:val="single" w:color="000000" w:sz="4" w:space="0"/>
            </w:tcBorders>
            <w:vAlign w:val="center"/>
          </w:tcPr>
          <w:p w14:paraId="069C7428">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50%</w:t>
            </w:r>
          </w:p>
        </w:tc>
        <w:tc>
          <w:tcPr>
            <w:tcW w:w="871" w:type="pct"/>
            <w:tcBorders>
              <w:top w:val="single" w:color="000000" w:sz="4" w:space="0"/>
              <w:left w:val="single" w:color="000000" w:sz="4" w:space="0"/>
              <w:bottom w:val="single" w:color="000000" w:sz="4" w:space="0"/>
              <w:right w:val="single" w:color="000000" w:sz="4" w:space="0"/>
            </w:tcBorders>
          </w:tcPr>
          <w:p w14:paraId="160A624F">
            <w:pPr>
              <w:pageBreakBefore w:val="0"/>
              <w:kinsoku/>
              <w:wordWrap/>
              <w:overflowPunct/>
              <w:topLinePunct w:val="0"/>
              <w:bidi w:val="0"/>
              <w:spacing w:line="360" w:lineRule="exact"/>
              <w:jc w:val="center"/>
              <w:rPr>
                <w:rFonts w:ascii="宋体" w:hAnsi="宋体" w:cs="宋体"/>
                <w:sz w:val="18"/>
                <w:szCs w:val="18"/>
              </w:rPr>
            </w:pPr>
          </w:p>
        </w:tc>
      </w:tr>
      <w:tr w14:paraId="7B46F608">
        <w:tblPrEx>
          <w:tblCellMar>
            <w:top w:w="0" w:type="dxa"/>
            <w:left w:w="108" w:type="dxa"/>
            <w:bottom w:w="0" w:type="dxa"/>
            <w:right w:w="108" w:type="dxa"/>
          </w:tblCellMar>
        </w:tblPrEx>
        <w:trPr>
          <w:trHeight w:val="360" w:hRule="atLeast"/>
          <w:jc w:val="center"/>
        </w:trPr>
        <w:tc>
          <w:tcPr>
            <w:tcW w:w="1074" w:type="pct"/>
            <w:vMerge w:val="continue"/>
            <w:tcBorders>
              <w:top w:val="single" w:color="000000" w:sz="4" w:space="0"/>
              <w:left w:val="single" w:color="000000" w:sz="4" w:space="0"/>
              <w:bottom w:val="single" w:color="000000" w:sz="4" w:space="0"/>
              <w:right w:val="single" w:color="000000" w:sz="4" w:space="0"/>
            </w:tcBorders>
            <w:vAlign w:val="center"/>
          </w:tcPr>
          <w:p w14:paraId="266E9645">
            <w:pPr>
              <w:pageBreakBefore w:val="0"/>
              <w:kinsoku/>
              <w:wordWrap/>
              <w:overflowPunct/>
              <w:topLinePunct w:val="0"/>
              <w:bidi w:val="0"/>
              <w:spacing w:line="360" w:lineRule="exact"/>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341D95E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初级</w:t>
            </w:r>
          </w:p>
        </w:tc>
        <w:tc>
          <w:tcPr>
            <w:tcW w:w="1108" w:type="pct"/>
            <w:tcBorders>
              <w:top w:val="single" w:color="000000" w:sz="4" w:space="0"/>
              <w:left w:val="single" w:color="000000" w:sz="4" w:space="0"/>
              <w:bottom w:val="single" w:color="000000" w:sz="4" w:space="0"/>
              <w:right w:val="single" w:color="000000" w:sz="4" w:space="0"/>
            </w:tcBorders>
            <w:vAlign w:val="center"/>
          </w:tcPr>
          <w:p w14:paraId="10A44FE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7</w:t>
            </w:r>
          </w:p>
        </w:tc>
        <w:tc>
          <w:tcPr>
            <w:tcW w:w="902" w:type="pct"/>
            <w:tcBorders>
              <w:top w:val="single" w:color="000000" w:sz="4" w:space="0"/>
              <w:left w:val="single" w:color="000000" w:sz="4" w:space="0"/>
              <w:bottom w:val="single" w:color="000000" w:sz="4" w:space="0"/>
              <w:right w:val="single" w:color="000000" w:sz="4" w:space="0"/>
            </w:tcBorders>
            <w:vAlign w:val="center"/>
          </w:tcPr>
          <w:p w14:paraId="026A8DF5">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29%</w:t>
            </w:r>
          </w:p>
        </w:tc>
        <w:tc>
          <w:tcPr>
            <w:tcW w:w="871" w:type="pct"/>
            <w:tcBorders>
              <w:top w:val="single" w:color="000000" w:sz="4" w:space="0"/>
              <w:left w:val="single" w:color="000000" w:sz="4" w:space="0"/>
              <w:bottom w:val="single" w:color="000000" w:sz="4" w:space="0"/>
              <w:right w:val="single" w:color="000000" w:sz="4" w:space="0"/>
            </w:tcBorders>
          </w:tcPr>
          <w:p w14:paraId="796EBE72">
            <w:pPr>
              <w:pageBreakBefore w:val="0"/>
              <w:kinsoku/>
              <w:wordWrap/>
              <w:overflowPunct/>
              <w:topLinePunct w:val="0"/>
              <w:bidi w:val="0"/>
              <w:spacing w:line="360" w:lineRule="exact"/>
              <w:jc w:val="center"/>
              <w:rPr>
                <w:rFonts w:ascii="宋体" w:hAnsi="宋体" w:cs="宋体"/>
                <w:sz w:val="18"/>
                <w:szCs w:val="18"/>
              </w:rPr>
            </w:pPr>
          </w:p>
        </w:tc>
      </w:tr>
      <w:tr w14:paraId="594E5F7B">
        <w:tblPrEx>
          <w:tblCellMar>
            <w:top w:w="0" w:type="dxa"/>
            <w:left w:w="108" w:type="dxa"/>
            <w:bottom w:w="0" w:type="dxa"/>
            <w:right w:w="108" w:type="dxa"/>
          </w:tblCellMar>
        </w:tblPrEx>
        <w:trPr>
          <w:trHeight w:val="360" w:hRule="atLeast"/>
          <w:jc w:val="center"/>
        </w:trPr>
        <w:tc>
          <w:tcPr>
            <w:tcW w:w="1074" w:type="pct"/>
            <w:vMerge w:val="restart"/>
            <w:tcBorders>
              <w:top w:val="single" w:color="000000" w:sz="4" w:space="0"/>
              <w:left w:val="single" w:color="000000" w:sz="4" w:space="0"/>
              <w:bottom w:val="single" w:color="000000" w:sz="4" w:space="0"/>
              <w:right w:val="single" w:color="000000" w:sz="4" w:space="0"/>
            </w:tcBorders>
            <w:vAlign w:val="center"/>
          </w:tcPr>
          <w:p w14:paraId="5821AB2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学位结构</w:t>
            </w:r>
          </w:p>
        </w:tc>
        <w:tc>
          <w:tcPr>
            <w:tcW w:w="1043" w:type="pct"/>
            <w:tcBorders>
              <w:top w:val="single" w:color="000000" w:sz="4" w:space="0"/>
              <w:left w:val="single" w:color="000000" w:sz="4" w:space="0"/>
              <w:bottom w:val="single" w:color="000000" w:sz="4" w:space="0"/>
              <w:right w:val="single" w:color="000000" w:sz="4" w:space="0"/>
            </w:tcBorders>
            <w:vAlign w:val="center"/>
          </w:tcPr>
          <w:p w14:paraId="039726C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博士</w:t>
            </w:r>
          </w:p>
        </w:tc>
        <w:tc>
          <w:tcPr>
            <w:tcW w:w="1108" w:type="pct"/>
            <w:tcBorders>
              <w:top w:val="single" w:color="000000" w:sz="4" w:space="0"/>
              <w:left w:val="single" w:color="000000" w:sz="4" w:space="0"/>
              <w:bottom w:val="single" w:color="000000" w:sz="4" w:space="0"/>
              <w:right w:val="single" w:color="000000" w:sz="4" w:space="0"/>
            </w:tcBorders>
            <w:vAlign w:val="center"/>
          </w:tcPr>
          <w:p w14:paraId="1724EDE6">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1</w:t>
            </w:r>
          </w:p>
        </w:tc>
        <w:tc>
          <w:tcPr>
            <w:tcW w:w="902" w:type="pct"/>
            <w:tcBorders>
              <w:top w:val="single" w:color="000000" w:sz="4" w:space="0"/>
              <w:left w:val="single" w:color="000000" w:sz="4" w:space="0"/>
              <w:bottom w:val="single" w:color="000000" w:sz="4" w:space="0"/>
              <w:right w:val="single" w:color="000000" w:sz="4" w:space="0"/>
            </w:tcBorders>
            <w:vAlign w:val="center"/>
          </w:tcPr>
          <w:p w14:paraId="31F5136D">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4%</w:t>
            </w:r>
          </w:p>
        </w:tc>
        <w:tc>
          <w:tcPr>
            <w:tcW w:w="871" w:type="pct"/>
            <w:tcBorders>
              <w:top w:val="single" w:color="000000" w:sz="4" w:space="0"/>
              <w:left w:val="single" w:color="000000" w:sz="4" w:space="0"/>
              <w:bottom w:val="single" w:color="000000" w:sz="4" w:space="0"/>
              <w:right w:val="single" w:color="000000" w:sz="4" w:space="0"/>
            </w:tcBorders>
          </w:tcPr>
          <w:p w14:paraId="54F72960">
            <w:pPr>
              <w:pageBreakBefore w:val="0"/>
              <w:kinsoku/>
              <w:wordWrap/>
              <w:overflowPunct/>
              <w:topLinePunct w:val="0"/>
              <w:bidi w:val="0"/>
              <w:spacing w:line="360" w:lineRule="exact"/>
              <w:jc w:val="center"/>
              <w:rPr>
                <w:rFonts w:ascii="宋体" w:hAnsi="宋体" w:cs="宋体"/>
                <w:sz w:val="18"/>
                <w:szCs w:val="18"/>
              </w:rPr>
            </w:pPr>
          </w:p>
        </w:tc>
      </w:tr>
      <w:tr w14:paraId="45441A67">
        <w:tblPrEx>
          <w:tblCellMar>
            <w:top w:w="0" w:type="dxa"/>
            <w:left w:w="108" w:type="dxa"/>
            <w:bottom w:w="0" w:type="dxa"/>
            <w:right w:w="108" w:type="dxa"/>
          </w:tblCellMar>
        </w:tblPrEx>
        <w:trPr>
          <w:trHeight w:val="360" w:hRule="atLeast"/>
          <w:jc w:val="center"/>
        </w:trPr>
        <w:tc>
          <w:tcPr>
            <w:tcW w:w="1074" w:type="pct"/>
            <w:vMerge w:val="continue"/>
            <w:tcBorders>
              <w:top w:val="single" w:color="000000" w:sz="4" w:space="0"/>
              <w:left w:val="single" w:color="000000" w:sz="4" w:space="0"/>
              <w:bottom w:val="single" w:color="000000" w:sz="4" w:space="0"/>
              <w:right w:val="single" w:color="000000" w:sz="4" w:space="0"/>
            </w:tcBorders>
            <w:vAlign w:val="center"/>
          </w:tcPr>
          <w:p w14:paraId="014A694F">
            <w:pPr>
              <w:pageBreakBefore w:val="0"/>
              <w:kinsoku/>
              <w:wordWrap/>
              <w:overflowPunct/>
              <w:topLinePunct w:val="0"/>
              <w:bidi w:val="0"/>
              <w:spacing w:line="360" w:lineRule="exact"/>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477637D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硕士</w:t>
            </w:r>
          </w:p>
        </w:tc>
        <w:tc>
          <w:tcPr>
            <w:tcW w:w="1108" w:type="pct"/>
            <w:tcBorders>
              <w:top w:val="single" w:color="000000" w:sz="4" w:space="0"/>
              <w:left w:val="single" w:color="000000" w:sz="4" w:space="0"/>
              <w:bottom w:val="single" w:color="000000" w:sz="4" w:space="0"/>
              <w:right w:val="single" w:color="000000" w:sz="4" w:space="0"/>
            </w:tcBorders>
            <w:vAlign w:val="center"/>
          </w:tcPr>
          <w:p w14:paraId="4355679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17</w:t>
            </w:r>
          </w:p>
        </w:tc>
        <w:tc>
          <w:tcPr>
            <w:tcW w:w="902" w:type="pct"/>
            <w:tcBorders>
              <w:top w:val="single" w:color="000000" w:sz="4" w:space="0"/>
              <w:left w:val="single" w:color="000000" w:sz="4" w:space="0"/>
              <w:bottom w:val="single" w:color="000000" w:sz="4" w:space="0"/>
              <w:right w:val="single" w:color="000000" w:sz="4" w:space="0"/>
            </w:tcBorders>
            <w:vAlign w:val="center"/>
          </w:tcPr>
          <w:p w14:paraId="11D1FD7F">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70%</w:t>
            </w:r>
          </w:p>
        </w:tc>
        <w:tc>
          <w:tcPr>
            <w:tcW w:w="871" w:type="pct"/>
            <w:tcBorders>
              <w:top w:val="single" w:color="000000" w:sz="4" w:space="0"/>
              <w:left w:val="single" w:color="000000" w:sz="4" w:space="0"/>
              <w:bottom w:val="single" w:color="000000" w:sz="4" w:space="0"/>
              <w:right w:val="single" w:color="000000" w:sz="4" w:space="0"/>
            </w:tcBorders>
          </w:tcPr>
          <w:p w14:paraId="33E2CBBE">
            <w:pPr>
              <w:pageBreakBefore w:val="0"/>
              <w:kinsoku/>
              <w:wordWrap/>
              <w:overflowPunct/>
              <w:topLinePunct w:val="0"/>
              <w:bidi w:val="0"/>
              <w:spacing w:line="360" w:lineRule="exact"/>
              <w:jc w:val="center"/>
              <w:rPr>
                <w:rFonts w:ascii="宋体" w:hAnsi="宋体" w:cs="宋体"/>
                <w:sz w:val="18"/>
                <w:szCs w:val="18"/>
              </w:rPr>
            </w:pPr>
          </w:p>
        </w:tc>
      </w:tr>
      <w:tr w14:paraId="377BC981">
        <w:tblPrEx>
          <w:tblCellMar>
            <w:top w:w="0" w:type="dxa"/>
            <w:left w:w="108" w:type="dxa"/>
            <w:bottom w:w="0" w:type="dxa"/>
            <w:right w:w="108" w:type="dxa"/>
          </w:tblCellMar>
        </w:tblPrEx>
        <w:trPr>
          <w:trHeight w:val="360" w:hRule="atLeast"/>
          <w:jc w:val="center"/>
        </w:trPr>
        <w:tc>
          <w:tcPr>
            <w:tcW w:w="1074" w:type="pct"/>
            <w:vMerge w:val="continue"/>
            <w:tcBorders>
              <w:top w:val="single" w:color="000000" w:sz="4" w:space="0"/>
              <w:left w:val="single" w:color="000000" w:sz="4" w:space="0"/>
              <w:bottom w:val="single" w:color="000000" w:sz="4" w:space="0"/>
              <w:right w:val="single" w:color="000000" w:sz="4" w:space="0"/>
            </w:tcBorders>
            <w:vAlign w:val="center"/>
          </w:tcPr>
          <w:p w14:paraId="2FACB3D8">
            <w:pPr>
              <w:pageBreakBefore w:val="0"/>
              <w:kinsoku/>
              <w:wordWrap/>
              <w:overflowPunct/>
              <w:topLinePunct w:val="0"/>
              <w:bidi w:val="0"/>
              <w:spacing w:line="360" w:lineRule="exact"/>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4CF6990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本科</w:t>
            </w:r>
          </w:p>
        </w:tc>
        <w:tc>
          <w:tcPr>
            <w:tcW w:w="1108" w:type="pct"/>
            <w:tcBorders>
              <w:top w:val="single" w:color="000000" w:sz="4" w:space="0"/>
              <w:left w:val="single" w:color="000000" w:sz="4" w:space="0"/>
              <w:bottom w:val="single" w:color="000000" w:sz="4" w:space="0"/>
              <w:right w:val="single" w:color="000000" w:sz="4" w:space="0"/>
            </w:tcBorders>
            <w:vAlign w:val="center"/>
          </w:tcPr>
          <w:p w14:paraId="75333AE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902" w:type="pct"/>
            <w:tcBorders>
              <w:top w:val="single" w:color="000000" w:sz="4" w:space="0"/>
              <w:left w:val="single" w:color="000000" w:sz="4" w:space="0"/>
              <w:bottom w:val="single" w:color="000000" w:sz="4" w:space="0"/>
              <w:right w:val="single" w:color="000000" w:sz="4" w:space="0"/>
            </w:tcBorders>
            <w:vAlign w:val="center"/>
          </w:tcPr>
          <w:p w14:paraId="6B654D6A">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25%</w:t>
            </w:r>
          </w:p>
        </w:tc>
        <w:tc>
          <w:tcPr>
            <w:tcW w:w="871" w:type="pct"/>
            <w:tcBorders>
              <w:top w:val="single" w:color="000000" w:sz="4" w:space="0"/>
              <w:left w:val="single" w:color="000000" w:sz="4" w:space="0"/>
              <w:bottom w:val="single" w:color="000000" w:sz="4" w:space="0"/>
              <w:right w:val="single" w:color="000000" w:sz="4" w:space="0"/>
            </w:tcBorders>
          </w:tcPr>
          <w:p w14:paraId="7ED7D1AD">
            <w:pPr>
              <w:pageBreakBefore w:val="0"/>
              <w:kinsoku/>
              <w:wordWrap/>
              <w:overflowPunct/>
              <w:topLinePunct w:val="0"/>
              <w:bidi w:val="0"/>
              <w:spacing w:line="360" w:lineRule="exact"/>
              <w:jc w:val="center"/>
              <w:rPr>
                <w:rFonts w:ascii="宋体" w:hAnsi="宋体" w:cs="宋体"/>
                <w:sz w:val="18"/>
                <w:szCs w:val="18"/>
              </w:rPr>
            </w:pPr>
          </w:p>
        </w:tc>
      </w:tr>
      <w:tr w14:paraId="1E4C9DAB">
        <w:tblPrEx>
          <w:tblCellMar>
            <w:top w:w="0" w:type="dxa"/>
            <w:left w:w="108" w:type="dxa"/>
            <w:bottom w:w="0" w:type="dxa"/>
            <w:right w:w="108" w:type="dxa"/>
          </w:tblCellMar>
        </w:tblPrEx>
        <w:trPr>
          <w:trHeight w:val="360" w:hRule="atLeast"/>
          <w:jc w:val="center"/>
        </w:trPr>
        <w:tc>
          <w:tcPr>
            <w:tcW w:w="1074" w:type="pct"/>
            <w:vMerge w:val="restart"/>
            <w:tcBorders>
              <w:top w:val="single" w:color="000000" w:sz="4" w:space="0"/>
              <w:left w:val="single" w:color="000000" w:sz="4" w:space="0"/>
              <w:bottom w:val="single" w:color="000000" w:sz="4" w:space="0"/>
              <w:right w:val="single" w:color="000000" w:sz="4" w:space="0"/>
            </w:tcBorders>
            <w:vAlign w:val="center"/>
          </w:tcPr>
          <w:p w14:paraId="697CBFE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年龄结构</w:t>
            </w:r>
          </w:p>
        </w:tc>
        <w:tc>
          <w:tcPr>
            <w:tcW w:w="1043" w:type="pct"/>
            <w:tcBorders>
              <w:top w:val="single" w:color="000000" w:sz="4" w:space="0"/>
              <w:left w:val="single" w:color="000000" w:sz="4" w:space="0"/>
              <w:bottom w:val="single" w:color="000000" w:sz="4" w:space="0"/>
              <w:right w:val="single" w:color="000000" w:sz="4" w:space="0"/>
            </w:tcBorders>
            <w:vAlign w:val="center"/>
          </w:tcPr>
          <w:p w14:paraId="0595CAF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35岁以下</w:t>
            </w:r>
          </w:p>
        </w:tc>
        <w:tc>
          <w:tcPr>
            <w:tcW w:w="1108" w:type="pct"/>
            <w:tcBorders>
              <w:top w:val="single" w:color="000000" w:sz="4" w:space="0"/>
              <w:left w:val="single" w:color="000000" w:sz="4" w:space="0"/>
              <w:bottom w:val="single" w:color="000000" w:sz="4" w:space="0"/>
              <w:right w:val="single" w:color="000000" w:sz="4" w:space="0"/>
            </w:tcBorders>
            <w:vAlign w:val="center"/>
          </w:tcPr>
          <w:p w14:paraId="68326287">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10</w:t>
            </w:r>
          </w:p>
        </w:tc>
        <w:tc>
          <w:tcPr>
            <w:tcW w:w="902" w:type="pct"/>
            <w:tcBorders>
              <w:top w:val="single" w:color="000000" w:sz="4" w:space="0"/>
              <w:left w:val="single" w:color="000000" w:sz="4" w:space="0"/>
              <w:bottom w:val="single" w:color="000000" w:sz="4" w:space="0"/>
              <w:right w:val="single" w:color="000000" w:sz="4" w:space="0"/>
            </w:tcBorders>
            <w:vAlign w:val="center"/>
          </w:tcPr>
          <w:p w14:paraId="5B8428EE">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41%</w:t>
            </w:r>
          </w:p>
        </w:tc>
        <w:tc>
          <w:tcPr>
            <w:tcW w:w="871" w:type="pct"/>
            <w:tcBorders>
              <w:top w:val="single" w:color="000000" w:sz="4" w:space="0"/>
              <w:left w:val="single" w:color="000000" w:sz="4" w:space="0"/>
              <w:bottom w:val="single" w:color="000000" w:sz="4" w:space="0"/>
              <w:right w:val="single" w:color="000000" w:sz="4" w:space="0"/>
            </w:tcBorders>
          </w:tcPr>
          <w:p w14:paraId="5215AB56">
            <w:pPr>
              <w:pageBreakBefore w:val="0"/>
              <w:kinsoku/>
              <w:wordWrap/>
              <w:overflowPunct/>
              <w:topLinePunct w:val="0"/>
              <w:bidi w:val="0"/>
              <w:spacing w:line="360" w:lineRule="exact"/>
              <w:jc w:val="center"/>
              <w:rPr>
                <w:rFonts w:ascii="宋体" w:hAnsi="宋体" w:cs="宋体"/>
                <w:sz w:val="18"/>
                <w:szCs w:val="18"/>
              </w:rPr>
            </w:pPr>
          </w:p>
        </w:tc>
      </w:tr>
      <w:tr w14:paraId="206164DC">
        <w:tblPrEx>
          <w:tblCellMar>
            <w:top w:w="0" w:type="dxa"/>
            <w:left w:w="108" w:type="dxa"/>
            <w:bottom w:w="0" w:type="dxa"/>
            <w:right w:w="108" w:type="dxa"/>
          </w:tblCellMar>
        </w:tblPrEx>
        <w:trPr>
          <w:trHeight w:val="360" w:hRule="atLeast"/>
          <w:jc w:val="center"/>
        </w:trPr>
        <w:tc>
          <w:tcPr>
            <w:tcW w:w="1074" w:type="pct"/>
            <w:vMerge w:val="continue"/>
            <w:tcBorders>
              <w:top w:val="single" w:color="000000" w:sz="4" w:space="0"/>
              <w:left w:val="single" w:color="000000" w:sz="4" w:space="0"/>
              <w:bottom w:val="single" w:color="000000" w:sz="4" w:space="0"/>
              <w:right w:val="single" w:color="000000" w:sz="4" w:space="0"/>
            </w:tcBorders>
            <w:vAlign w:val="center"/>
          </w:tcPr>
          <w:p w14:paraId="2F83D328">
            <w:pPr>
              <w:pageBreakBefore w:val="0"/>
              <w:kinsoku/>
              <w:wordWrap/>
              <w:overflowPunct/>
              <w:topLinePunct w:val="0"/>
              <w:bidi w:val="0"/>
              <w:spacing w:line="360" w:lineRule="exact"/>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5328F30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36-45岁</w:t>
            </w:r>
          </w:p>
        </w:tc>
        <w:tc>
          <w:tcPr>
            <w:tcW w:w="1108" w:type="pct"/>
            <w:tcBorders>
              <w:top w:val="single" w:color="000000" w:sz="4" w:space="0"/>
              <w:left w:val="single" w:color="000000" w:sz="4" w:space="0"/>
              <w:bottom w:val="single" w:color="000000" w:sz="4" w:space="0"/>
              <w:right w:val="single" w:color="000000" w:sz="4" w:space="0"/>
            </w:tcBorders>
            <w:vAlign w:val="center"/>
          </w:tcPr>
          <w:p w14:paraId="1BF7BB3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12</w:t>
            </w:r>
          </w:p>
        </w:tc>
        <w:tc>
          <w:tcPr>
            <w:tcW w:w="902" w:type="pct"/>
            <w:tcBorders>
              <w:top w:val="single" w:color="000000" w:sz="4" w:space="0"/>
              <w:left w:val="single" w:color="000000" w:sz="4" w:space="0"/>
              <w:bottom w:val="single" w:color="000000" w:sz="4" w:space="0"/>
              <w:right w:val="single" w:color="000000" w:sz="4" w:space="0"/>
            </w:tcBorders>
            <w:vAlign w:val="center"/>
          </w:tcPr>
          <w:p w14:paraId="56AF9AD3">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50%</w:t>
            </w:r>
          </w:p>
        </w:tc>
        <w:tc>
          <w:tcPr>
            <w:tcW w:w="871" w:type="pct"/>
            <w:tcBorders>
              <w:top w:val="single" w:color="000000" w:sz="4" w:space="0"/>
              <w:left w:val="single" w:color="000000" w:sz="4" w:space="0"/>
              <w:bottom w:val="single" w:color="000000" w:sz="4" w:space="0"/>
              <w:right w:val="single" w:color="000000" w:sz="4" w:space="0"/>
            </w:tcBorders>
          </w:tcPr>
          <w:p w14:paraId="22462160">
            <w:pPr>
              <w:pageBreakBefore w:val="0"/>
              <w:kinsoku/>
              <w:wordWrap/>
              <w:overflowPunct/>
              <w:topLinePunct w:val="0"/>
              <w:bidi w:val="0"/>
              <w:spacing w:line="360" w:lineRule="exact"/>
              <w:jc w:val="center"/>
              <w:rPr>
                <w:rFonts w:ascii="宋体" w:hAnsi="宋体" w:cs="宋体"/>
                <w:sz w:val="18"/>
                <w:szCs w:val="18"/>
              </w:rPr>
            </w:pPr>
          </w:p>
        </w:tc>
      </w:tr>
      <w:tr w14:paraId="5192DFF6">
        <w:tblPrEx>
          <w:tblCellMar>
            <w:top w:w="0" w:type="dxa"/>
            <w:left w:w="108" w:type="dxa"/>
            <w:bottom w:w="0" w:type="dxa"/>
            <w:right w:w="108" w:type="dxa"/>
          </w:tblCellMar>
        </w:tblPrEx>
        <w:trPr>
          <w:trHeight w:val="360" w:hRule="atLeast"/>
          <w:jc w:val="center"/>
        </w:trPr>
        <w:tc>
          <w:tcPr>
            <w:tcW w:w="1074" w:type="pct"/>
            <w:vMerge w:val="continue"/>
            <w:tcBorders>
              <w:top w:val="single" w:color="000000" w:sz="4" w:space="0"/>
              <w:left w:val="single" w:color="000000" w:sz="4" w:space="0"/>
              <w:bottom w:val="single" w:color="000000" w:sz="4" w:space="0"/>
              <w:right w:val="single" w:color="000000" w:sz="4" w:space="0"/>
            </w:tcBorders>
            <w:vAlign w:val="center"/>
          </w:tcPr>
          <w:p w14:paraId="4869900F">
            <w:pPr>
              <w:pageBreakBefore w:val="0"/>
              <w:kinsoku/>
              <w:wordWrap/>
              <w:overflowPunct/>
              <w:topLinePunct w:val="0"/>
              <w:bidi w:val="0"/>
              <w:spacing w:line="360" w:lineRule="exact"/>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39803A6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46-60岁</w:t>
            </w:r>
          </w:p>
        </w:tc>
        <w:tc>
          <w:tcPr>
            <w:tcW w:w="1108" w:type="pct"/>
            <w:tcBorders>
              <w:top w:val="single" w:color="000000" w:sz="4" w:space="0"/>
              <w:left w:val="single" w:color="000000" w:sz="4" w:space="0"/>
              <w:bottom w:val="single" w:color="000000" w:sz="4" w:space="0"/>
              <w:right w:val="single" w:color="000000" w:sz="4" w:space="0"/>
            </w:tcBorders>
            <w:vAlign w:val="center"/>
          </w:tcPr>
          <w:p w14:paraId="02C7A57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902" w:type="pct"/>
            <w:tcBorders>
              <w:top w:val="single" w:color="000000" w:sz="4" w:space="0"/>
              <w:left w:val="single" w:color="000000" w:sz="4" w:space="0"/>
              <w:bottom w:val="single" w:color="000000" w:sz="4" w:space="0"/>
              <w:right w:val="single" w:color="000000" w:sz="4" w:space="0"/>
            </w:tcBorders>
            <w:vAlign w:val="center"/>
          </w:tcPr>
          <w:p w14:paraId="4C91E9A1">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8%</w:t>
            </w:r>
          </w:p>
        </w:tc>
        <w:tc>
          <w:tcPr>
            <w:tcW w:w="871" w:type="pct"/>
            <w:tcBorders>
              <w:top w:val="single" w:color="000000" w:sz="4" w:space="0"/>
              <w:left w:val="single" w:color="000000" w:sz="4" w:space="0"/>
              <w:bottom w:val="single" w:color="000000" w:sz="4" w:space="0"/>
              <w:right w:val="single" w:color="000000" w:sz="4" w:space="0"/>
            </w:tcBorders>
          </w:tcPr>
          <w:p w14:paraId="7F80252C">
            <w:pPr>
              <w:pageBreakBefore w:val="0"/>
              <w:kinsoku/>
              <w:wordWrap/>
              <w:overflowPunct/>
              <w:topLinePunct w:val="0"/>
              <w:bidi w:val="0"/>
              <w:spacing w:line="360" w:lineRule="exact"/>
              <w:jc w:val="center"/>
              <w:rPr>
                <w:rFonts w:ascii="宋体" w:hAnsi="宋体" w:cs="宋体"/>
                <w:sz w:val="18"/>
                <w:szCs w:val="18"/>
              </w:rPr>
            </w:pPr>
          </w:p>
        </w:tc>
      </w:tr>
      <w:tr w14:paraId="2CCAB8A5">
        <w:tblPrEx>
          <w:tblCellMar>
            <w:top w:w="0" w:type="dxa"/>
            <w:left w:w="108" w:type="dxa"/>
            <w:bottom w:w="0" w:type="dxa"/>
            <w:right w:w="108" w:type="dxa"/>
          </w:tblCellMar>
        </w:tblPrEx>
        <w:trPr>
          <w:trHeight w:val="360" w:hRule="atLeast"/>
          <w:jc w:val="center"/>
        </w:trPr>
        <w:tc>
          <w:tcPr>
            <w:tcW w:w="2118" w:type="pct"/>
            <w:gridSpan w:val="2"/>
            <w:tcBorders>
              <w:top w:val="single" w:color="000000" w:sz="4" w:space="0"/>
              <w:left w:val="single" w:color="000000" w:sz="4" w:space="0"/>
              <w:bottom w:val="single" w:color="000000" w:sz="4" w:space="0"/>
              <w:right w:val="single" w:color="000000" w:sz="4" w:space="0"/>
            </w:tcBorders>
            <w:vAlign w:val="center"/>
          </w:tcPr>
          <w:p w14:paraId="75DF1EF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双师型教师</w:t>
            </w:r>
          </w:p>
        </w:tc>
        <w:tc>
          <w:tcPr>
            <w:tcW w:w="1108" w:type="pct"/>
            <w:tcBorders>
              <w:top w:val="single" w:color="000000" w:sz="4" w:space="0"/>
              <w:left w:val="single" w:color="000000" w:sz="4" w:space="0"/>
              <w:bottom w:val="single" w:color="000000" w:sz="4" w:space="0"/>
              <w:right w:val="single" w:color="000000" w:sz="4" w:space="0"/>
            </w:tcBorders>
            <w:vAlign w:val="center"/>
          </w:tcPr>
          <w:p w14:paraId="5ED084B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15</w:t>
            </w:r>
          </w:p>
        </w:tc>
        <w:tc>
          <w:tcPr>
            <w:tcW w:w="902" w:type="pct"/>
            <w:tcBorders>
              <w:top w:val="single" w:color="000000" w:sz="4" w:space="0"/>
              <w:left w:val="single" w:color="000000" w:sz="4" w:space="0"/>
              <w:bottom w:val="single" w:color="000000" w:sz="4" w:space="0"/>
              <w:right w:val="single" w:color="000000" w:sz="4" w:space="0"/>
            </w:tcBorders>
            <w:vAlign w:val="center"/>
          </w:tcPr>
          <w:p w14:paraId="5A60CDFC">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62%</w:t>
            </w:r>
          </w:p>
        </w:tc>
        <w:tc>
          <w:tcPr>
            <w:tcW w:w="871" w:type="pct"/>
            <w:tcBorders>
              <w:top w:val="single" w:color="000000" w:sz="4" w:space="0"/>
              <w:left w:val="single" w:color="000000" w:sz="4" w:space="0"/>
              <w:bottom w:val="single" w:color="000000" w:sz="4" w:space="0"/>
              <w:right w:val="single" w:color="000000" w:sz="4" w:space="0"/>
            </w:tcBorders>
            <w:vAlign w:val="center"/>
          </w:tcPr>
          <w:p w14:paraId="4037CCB4">
            <w:pPr>
              <w:pageBreakBefore w:val="0"/>
              <w:kinsoku/>
              <w:wordWrap/>
              <w:overflowPunct/>
              <w:topLinePunct w:val="0"/>
              <w:bidi w:val="0"/>
              <w:spacing w:line="360" w:lineRule="exact"/>
              <w:jc w:val="center"/>
              <w:rPr>
                <w:rFonts w:ascii="宋体" w:hAnsi="宋体" w:cs="宋体"/>
                <w:szCs w:val="21"/>
              </w:rPr>
            </w:pPr>
          </w:p>
        </w:tc>
      </w:tr>
      <w:tr w14:paraId="63760247">
        <w:tblPrEx>
          <w:tblCellMar>
            <w:top w:w="0" w:type="dxa"/>
            <w:left w:w="108" w:type="dxa"/>
            <w:bottom w:w="0" w:type="dxa"/>
            <w:right w:w="108" w:type="dxa"/>
          </w:tblCellMar>
        </w:tblPrEx>
        <w:trPr>
          <w:trHeight w:val="360" w:hRule="atLeast"/>
          <w:jc w:val="center"/>
        </w:trPr>
        <w:tc>
          <w:tcPr>
            <w:tcW w:w="2118" w:type="pct"/>
            <w:gridSpan w:val="2"/>
            <w:tcBorders>
              <w:top w:val="single" w:color="000000" w:sz="4" w:space="0"/>
              <w:left w:val="single" w:color="000000" w:sz="4" w:space="0"/>
              <w:bottom w:val="single" w:color="000000" w:sz="4" w:space="0"/>
              <w:right w:val="single" w:color="000000" w:sz="4" w:space="0"/>
            </w:tcBorders>
            <w:vAlign w:val="center"/>
          </w:tcPr>
          <w:p w14:paraId="792F63C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专任教师</w:t>
            </w:r>
          </w:p>
        </w:tc>
        <w:tc>
          <w:tcPr>
            <w:tcW w:w="1108" w:type="pct"/>
            <w:tcBorders>
              <w:top w:val="single" w:color="000000" w:sz="4" w:space="0"/>
              <w:left w:val="single" w:color="000000" w:sz="4" w:space="0"/>
              <w:bottom w:val="single" w:color="000000" w:sz="4" w:space="0"/>
              <w:right w:val="single" w:color="000000" w:sz="4" w:space="0"/>
            </w:tcBorders>
            <w:vAlign w:val="center"/>
          </w:tcPr>
          <w:p w14:paraId="674A503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20</w:t>
            </w:r>
          </w:p>
        </w:tc>
        <w:tc>
          <w:tcPr>
            <w:tcW w:w="902" w:type="pct"/>
            <w:tcBorders>
              <w:top w:val="single" w:color="000000" w:sz="4" w:space="0"/>
              <w:left w:val="single" w:color="000000" w:sz="4" w:space="0"/>
              <w:bottom w:val="single" w:color="000000" w:sz="4" w:space="0"/>
              <w:right w:val="single" w:color="000000" w:sz="4" w:space="0"/>
            </w:tcBorders>
            <w:vAlign w:val="center"/>
          </w:tcPr>
          <w:p w14:paraId="70F3A15E">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83%</w:t>
            </w:r>
          </w:p>
        </w:tc>
        <w:tc>
          <w:tcPr>
            <w:tcW w:w="871" w:type="pct"/>
            <w:tcBorders>
              <w:top w:val="single" w:color="000000" w:sz="4" w:space="0"/>
              <w:left w:val="single" w:color="000000" w:sz="4" w:space="0"/>
              <w:bottom w:val="single" w:color="000000" w:sz="4" w:space="0"/>
              <w:right w:val="single" w:color="000000" w:sz="4" w:space="0"/>
            </w:tcBorders>
            <w:vAlign w:val="center"/>
          </w:tcPr>
          <w:p w14:paraId="758B1D02">
            <w:pPr>
              <w:pageBreakBefore w:val="0"/>
              <w:kinsoku/>
              <w:wordWrap/>
              <w:overflowPunct/>
              <w:topLinePunct w:val="0"/>
              <w:bidi w:val="0"/>
              <w:spacing w:line="360" w:lineRule="exact"/>
              <w:jc w:val="center"/>
              <w:rPr>
                <w:rFonts w:ascii="宋体" w:hAnsi="宋体" w:cs="宋体"/>
                <w:szCs w:val="21"/>
              </w:rPr>
            </w:pPr>
          </w:p>
        </w:tc>
      </w:tr>
      <w:tr w14:paraId="20EF1EC1">
        <w:tblPrEx>
          <w:tblCellMar>
            <w:top w:w="0" w:type="dxa"/>
            <w:left w:w="108" w:type="dxa"/>
            <w:bottom w:w="0" w:type="dxa"/>
            <w:right w:w="108" w:type="dxa"/>
          </w:tblCellMar>
        </w:tblPrEx>
        <w:trPr>
          <w:trHeight w:val="360" w:hRule="atLeast"/>
          <w:jc w:val="center"/>
        </w:trPr>
        <w:tc>
          <w:tcPr>
            <w:tcW w:w="2118" w:type="pct"/>
            <w:gridSpan w:val="2"/>
            <w:tcBorders>
              <w:top w:val="single" w:color="000000" w:sz="4" w:space="0"/>
              <w:left w:val="single" w:color="000000" w:sz="4" w:space="0"/>
              <w:bottom w:val="single" w:color="000000" w:sz="4" w:space="0"/>
              <w:right w:val="single" w:color="000000" w:sz="4" w:space="0"/>
            </w:tcBorders>
            <w:vAlign w:val="center"/>
          </w:tcPr>
          <w:p w14:paraId="242742F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专业带头人</w:t>
            </w:r>
          </w:p>
        </w:tc>
        <w:tc>
          <w:tcPr>
            <w:tcW w:w="1108" w:type="pct"/>
            <w:tcBorders>
              <w:top w:val="single" w:color="000000" w:sz="4" w:space="0"/>
              <w:left w:val="single" w:color="000000" w:sz="4" w:space="0"/>
              <w:bottom w:val="single" w:color="000000" w:sz="4" w:space="0"/>
              <w:right w:val="single" w:color="000000" w:sz="4" w:space="0"/>
            </w:tcBorders>
            <w:vAlign w:val="center"/>
          </w:tcPr>
          <w:p w14:paraId="2E90EF9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902" w:type="pct"/>
            <w:tcBorders>
              <w:top w:val="single" w:color="000000" w:sz="4" w:space="0"/>
              <w:left w:val="single" w:color="000000" w:sz="4" w:space="0"/>
              <w:bottom w:val="single" w:color="000000" w:sz="4" w:space="0"/>
              <w:right w:val="single" w:color="000000" w:sz="4" w:space="0"/>
            </w:tcBorders>
            <w:vAlign w:val="center"/>
          </w:tcPr>
          <w:p w14:paraId="0748C397">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4%</w:t>
            </w:r>
          </w:p>
        </w:tc>
        <w:tc>
          <w:tcPr>
            <w:tcW w:w="871" w:type="pct"/>
            <w:tcBorders>
              <w:top w:val="single" w:color="000000" w:sz="4" w:space="0"/>
              <w:left w:val="single" w:color="000000" w:sz="4" w:space="0"/>
              <w:bottom w:val="single" w:color="000000" w:sz="4" w:space="0"/>
              <w:right w:val="single" w:color="000000" w:sz="4" w:space="0"/>
            </w:tcBorders>
            <w:vAlign w:val="center"/>
          </w:tcPr>
          <w:p w14:paraId="2A628D88">
            <w:pPr>
              <w:pageBreakBefore w:val="0"/>
              <w:kinsoku/>
              <w:wordWrap/>
              <w:overflowPunct/>
              <w:topLinePunct w:val="0"/>
              <w:bidi w:val="0"/>
              <w:spacing w:line="360" w:lineRule="exact"/>
              <w:jc w:val="center"/>
              <w:rPr>
                <w:rFonts w:ascii="宋体" w:hAnsi="宋体" w:cs="宋体"/>
                <w:szCs w:val="21"/>
              </w:rPr>
            </w:pPr>
          </w:p>
        </w:tc>
      </w:tr>
      <w:tr w14:paraId="69A76470">
        <w:tblPrEx>
          <w:tblCellMar>
            <w:top w:w="0" w:type="dxa"/>
            <w:left w:w="108" w:type="dxa"/>
            <w:bottom w:w="0" w:type="dxa"/>
            <w:right w:w="108" w:type="dxa"/>
          </w:tblCellMar>
        </w:tblPrEx>
        <w:trPr>
          <w:trHeight w:val="373" w:hRule="atLeast"/>
          <w:jc w:val="center"/>
        </w:trPr>
        <w:tc>
          <w:tcPr>
            <w:tcW w:w="2118" w:type="pct"/>
            <w:gridSpan w:val="2"/>
            <w:tcBorders>
              <w:top w:val="single" w:color="000000" w:sz="4" w:space="0"/>
              <w:left w:val="single" w:color="000000" w:sz="4" w:space="0"/>
              <w:bottom w:val="single" w:color="000000" w:sz="4" w:space="0"/>
              <w:right w:val="single" w:color="000000" w:sz="4" w:space="0"/>
            </w:tcBorders>
            <w:vAlign w:val="center"/>
          </w:tcPr>
          <w:p w14:paraId="14760D7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兼职教师</w:t>
            </w:r>
          </w:p>
        </w:tc>
        <w:tc>
          <w:tcPr>
            <w:tcW w:w="1108" w:type="pct"/>
            <w:tcBorders>
              <w:top w:val="single" w:color="000000" w:sz="4" w:space="0"/>
              <w:left w:val="single" w:color="000000" w:sz="4" w:space="0"/>
              <w:bottom w:val="single" w:color="000000" w:sz="4" w:space="0"/>
              <w:right w:val="single" w:color="000000" w:sz="4" w:space="0"/>
            </w:tcBorders>
            <w:vAlign w:val="center"/>
          </w:tcPr>
          <w:p w14:paraId="3AC6637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902" w:type="pct"/>
            <w:tcBorders>
              <w:top w:val="single" w:color="000000" w:sz="4" w:space="0"/>
              <w:left w:val="single" w:color="000000" w:sz="4" w:space="0"/>
              <w:bottom w:val="single" w:color="000000" w:sz="4" w:space="0"/>
              <w:right w:val="single" w:color="000000" w:sz="4" w:space="0"/>
            </w:tcBorders>
            <w:vAlign w:val="center"/>
          </w:tcPr>
          <w:p w14:paraId="677E6E38">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16%</w:t>
            </w:r>
          </w:p>
        </w:tc>
        <w:tc>
          <w:tcPr>
            <w:tcW w:w="871" w:type="pct"/>
            <w:tcBorders>
              <w:top w:val="single" w:color="000000" w:sz="4" w:space="0"/>
              <w:left w:val="single" w:color="000000" w:sz="4" w:space="0"/>
              <w:bottom w:val="single" w:color="000000" w:sz="4" w:space="0"/>
              <w:right w:val="single" w:color="000000" w:sz="4" w:space="0"/>
            </w:tcBorders>
            <w:vAlign w:val="center"/>
          </w:tcPr>
          <w:p w14:paraId="1B52FA58">
            <w:pPr>
              <w:pageBreakBefore w:val="0"/>
              <w:kinsoku/>
              <w:wordWrap/>
              <w:overflowPunct/>
              <w:topLinePunct w:val="0"/>
              <w:bidi w:val="0"/>
              <w:spacing w:line="360" w:lineRule="exact"/>
              <w:jc w:val="center"/>
              <w:rPr>
                <w:rFonts w:ascii="宋体" w:hAnsi="宋体" w:cs="宋体"/>
                <w:szCs w:val="21"/>
              </w:rPr>
            </w:pPr>
          </w:p>
        </w:tc>
      </w:tr>
    </w:tbl>
    <w:p w14:paraId="3063BE70">
      <w:pPr>
        <w:pageBreakBefore w:val="0"/>
        <w:kinsoku/>
        <w:wordWrap/>
        <w:overflowPunct/>
        <w:topLinePunct w:val="0"/>
        <w:bidi w:val="0"/>
        <w:adjustRightInd w:val="0"/>
        <w:snapToGrid w:val="0"/>
        <w:spacing w:line="360" w:lineRule="exact"/>
        <w:ind w:firstLine="422" w:firstLineChars="200"/>
        <w:rPr>
          <w:rFonts w:ascii="宋体" w:hAnsi="宋体" w:cs="宋体"/>
          <w:szCs w:val="21"/>
        </w:rPr>
      </w:pPr>
      <w:r>
        <w:rPr>
          <w:rFonts w:ascii="宋体" w:hAnsi="宋体" w:cs="宋体"/>
          <w:b/>
          <w:bCs/>
          <w:szCs w:val="21"/>
        </w:rPr>
        <w:t>2.专业带头人</w:t>
      </w:r>
      <w:r>
        <w:rPr>
          <w:rFonts w:ascii="宋体" w:hAnsi="宋体" w:cs="宋体"/>
          <w:szCs w:val="21"/>
        </w:rPr>
        <w:t xml:space="preserve"> </w:t>
      </w:r>
    </w:p>
    <w:p w14:paraId="2A734D5D">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本专业专业带头人为教育类专业教授，具有高级职称，被认定为河南省职业教育教学专家，河南省教育厅学术技术带头人，并曾在相关行业任职。了解行业对本专业人才的需求实际，教学设计、专业研究能力强。</w:t>
      </w:r>
    </w:p>
    <w:p w14:paraId="771D6C01">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3.专任教师</w:t>
      </w:r>
    </w:p>
    <w:p w14:paraId="735C276C">
      <w:pPr>
        <w:pStyle w:val="5"/>
        <w:pageBreakBefore w:val="0"/>
        <w:kinsoku/>
        <w:wordWrap/>
        <w:overflowPunct/>
        <w:topLinePunct w:val="0"/>
        <w:bidi w:val="0"/>
        <w:adjustRightInd w:val="0"/>
        <w:snapToGrid w:val="0"/>
        <w:spacing w:before="0" w:after="0" w:line="360" w:lineRule="exact"/>
        <w:ind w:firstLine="420" w:firstLineChars="200"/>
        <w:rPr>
          <w:b w:val="0"/>
          <w:bCs w:val="0"/>
          <w:sz w:val="21"/>
          <w:szCs w:val="21"/>
        </w:rPr>
      </w:pPr>
      <w:r>
        <w:rPr>
          <w:rFonts w:hint="eastAsia"/>
          <w:b w:val="0"/>
          <w:bCs w:val="0"/>
          <w:sz w:val="21"/>
          <w:szCs w:val="21"/>
        </w:rPr>
        <w:t>具有高等学校教师任职资格，双师型教师，本科及以上学历（</w:t>
      </w:r>
      <w:r>
        <w:rPr>
          <w:b w:val="0"/>
          <w:bCs w:val="0"/>
          <w:sz w:val="21"/>
          <w:szCs w:val="21"/>
        </w:rPr>
        <w:t>45</w:t>
      </w:r>
      <w:r>
        <w:rPr>
          <w:rFonts w:hint="eastAsia"/>
          <w:b w:val="0"/>
          <w:bCs w:val="0"/>
          <w:sz w:val="21"/>
          <w:szCs w:val="21"/>
        </w:rPr>
        <w:t>岁以下和新进青年教师必须为研究生学历），所学专业与承担的专业课程紧密联系；遵守高校教师职业道德规范，为人师表，言传身教；具有较深厚的教育科学理论知识，了解学前教育领域的前沿动态；具有职前养成和职后发展一体化指导能力，能够有效指导师范生发展与职业规划；勤于思考，严谨治学，具有一定的学术水平和研究能力；以生为本、以学定教，具有较强的课堂教学、信息技术应用和学习指导等教育教学能力。</w:t>
      </w:r>
    </w:p>
    <w:p w14:paraId="091C07E5">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4.兼职教师</w:t>
      </w:r>
    </w:p>
    <w:p w14:paraId="209DD1F8">
      <w:pPr>
        <w:pageBreakBefore w:val="0"/>
        <w:kinsoku/>
        <w:wordWrap/>
        <w:overflowPunct/>
        <w:topLinePunct w:val="0"/>
        <w:bidi w:val="0"/>
        <w:spacing w:line="360" w:lineRule="exact"/>
        <w:ind w:firstLine="420" w:firstLineChars="200"/>
        <w:rPr>
          <w:rFonts w:ascii="宋体" w:hAnsi="宋体" w:cs="宋体"/>
          <w:color w:val="FF0000"/>
          <w:szCs w:val="21"/>
        </w:rPr>
      </w:pPr>
      <w:bookmarkStart w:id="53" w:name="_Toc18436"/>
      <w:bookmarkStart w:id="54" w:name="_Toc32234"/>
      <w:r>
        <w:rPr>
          <w:rFonts w:hint="eastAsia"/>
          <w:szCs w:val="21"/>
        </w:rPr>
        <w:t>兼职教师应全部来源于省、市级示范性幼儿园和具有一定影响力的幼教机构；具有良好的思想政治素质和职业道德；具有扎实的学前教育专业知识和丰富的保教实践工作经验；外聘行业兼职教师应熟悉学前教育领域实际工作情况，具有</w:t>
      </w:r>
      <w:r>
        <w:rPr>
          <w:szCs w:val="21"/>
        </w:rPr>
        <w:t>8</w:t>
      </w:r>
      <w:r>
        <w:rPr>
          <w:rFonts w:hint="eastAsia"/>
          <w:szCs w:val="21"/>
        </w:rPr>
        <w:t>年以上学前教育实践经验且具有中级以上职称；或省市级教学名师、教学骨干、学科带头人。外聘高校教师具有高等学校教师资格证书或相关领域职业证书，具有副高级以上专业技术资格；具有良好的沟通和教学能力，教学经验丰富；能够遵守学校对兼职教师管理的各项规章制度。</w:t>
      </w:r>
      <w:r>
        <w:rPr>
          <w:rFonts w:hint="eastAsia" w:ascii="宋体" w:hAnsi="宋体" w:cs="宋体"/>
          <w:szCs w:val="21"/>
        </w:rPr>
        <w:t xml:space="preserve"> </w:t>
      </w:r>
    </w:p>
    <w:p w14:paraId="05E2E806">
      <w:pPr>
        <w:pageBreakBefore w:val="0"/>
        <w:numPr>
          <w:ilvl w:val="0"/>
          <w:numId w:val="8"/>
        </w:numPr>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教学设施</w:t>
      </w:r>
      <w:bookmarkEnd w:id="53"/>
      <w:bookmarkEnd w:id="54"/>
    </w:p>
    <w:p w14:paraId="3DAB00BC">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主要包括学前教育专业智慧实训中心、课证一体实训室、赛教一体实训室、幼儿照护实训中心、保育实训室、幼儿游戏实训室、学前虚拟仿真实训室、蒙台梭利实训室、感觉统合实训室、钢琴教室、舞蹈教室、美术手工教室等。</w:t>
      </w:r>
    </w:p>
    <w:p w14:paraId="075305EC">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0E322AB2">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要求满足保育实践、教学实训、教学技能训练、玩教具研发、艺术技能训练等实践教学需要，面积和设施均达到国家发布的有关实训教学条件建设标准要求；学前教育专业现有数量充足的多媒体教室，建有教育教学设施管理、维护、更新和共享机制，信息化条件保障满足专业建设、信息化教学和学生自主学习的需要。</w:t>
      </w:r>
    </w:p>
    <w:p w14:paraId="5504EEA9">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2.校内实训室（基地）基本要求</w:t>
      </w:r>
    </w:p>
    <w:p w14:paraId="56C702B1">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学前教育校内实习基地的首要任务是提供一个模拟真实的教育环境，使学生能够在接近实际工作环境的情况下进行实践操作和体验。实践教学环境应包括模拟教室、游戏区、角色扮演区等，确保学生能够全方位地了解学前教育机构日常运作流程，为将来的职业生涯做好充分准备。</w:t>
      </w:r>
    </w:p>
    <w:p w14:paraId="7F714857">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实习基地应配备符合学前教育发展需求的设施设备，包括教育教学工具、玩具材料、多媒体设备等。设施设备应保持先进性，能够满足教育实践和教学改革的需求，为学生提供良好的学习和实践条件。</w:t>
      </w:r>
    </w:p>
    <w:p w14:paraId="6CF0E134">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校内实训室概况</w:t>
      </w:r>
    </w:p>
    <w:tbl>
      <w:tblPr>
        <w:tblStyle w:val="15"/>
        <w:tblW w:w="5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7"/>
        <w:gridCol w:w="1977"/>
        <w:gridCol w:w="2519"/>
        <w:gridCol w:w="1133"/>
        <w:gridCol w:w="1175"/>
        <w:gridCol w:w="1646"/>
      </w:tblGrid>
      <w:tr w14:paraId="3BC1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381" w:type="pct"/>
            <w:vAlign w:val="center"/>
          </w:tcPr>
          <w:p w14:paraId="1E990B46">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序号</w:t>
            </w:r>
          </w:p>
        </w:tc>
        <w:tc>
          <w:tcPr>
            <w:tcW w:w="1080" w:type="pct"/>
            <w:vAlign w:val="center"/>
          </w:tcPr>
          <w:p w14:paraId="3FE83900">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实验/实训室名称</w:t>
            </w:r>
          </w:p>
        </w:tc>
        <w:tc>
          <w:tcPr>
            <w:tcW w:w="1376" w:type="pct"/>
            <w:vAlign w:val="center"/>
          </w:tcPr>
          <w:p w14:paraId="529067CB">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功能（实训实习项目）</w:t>
            </w:r>
          </w:p>
        </w:tc>
        <w:tc>
          <w:tcPr>
            <w:tcW w:w="619" w:type="pct"/>
            <w:vAlign w:val="center"/>
          </w:tcPr>
          <w:p w14:paraId="460EF485">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面积（㎡）</w:t>
            </w:r>
          </w:p>
        </w:tc>
        <w:tc>
          <w:tcPr>
            <w:tcW w:w="642" w:type="pct"/>
            <w:vAlign w:val="center"/>
          </w:tcPr>
          <w:p w14:paraId="34FA0480">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工位数（个）</w:t>
            </w:r>
          </w:p>
        </w:tc>
        <w:tc>
          <w:tcPr>
            <w:tcW w:w="899" w:type="pct"/>
            <w:vAlign w:val="center"/>
          </w:tcPr>
          <w:p w14:paraId="7BEB54A3">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支撑课程</w:t>
            </w:r>
          </w:p>
        </w:tc>
      </w:tr>
      <w:tr w14:paraId="7ACA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1" w:type="pct"/>
            <w:tcFitText/>
            <w:vAlign w:val="center"/>
          </w:tcPr>
          <w:p w14:paraId="69C111F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1080" w:type="pct"/>
            <w:vAlign w:val="center"/>
          </w:tcPr>
          <w:p w14:paraId="3D2D3104">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Times New Roman" w:hAnsi="Times New Roman"/>
                <w:b w:val="0"/>
                <w:color w:val="auto"/>
                <w:sz w:val="18"/>
                <w:szCs w:val="18"/>
              </w:rPr>
              <w:t>学前教育智慧实训中心</w:t>
            </w:r>
          </w:p>
        </w:tc>
        <w:tc>
          <w:tcPr>
            <w:tcW w:w="1376" w:type="pct"/>
            <w:vAlign w:val="center"/>
          </w:tcPr>
          <w:p w14:paraId="13F57C42">
            <w:pPr>
              <w:pageBreakBefore w:val="0"/>
              <w:kinsoku/>
              <w:wordWrap/>
              <w:overflowPunct/>
              <w:topLinePunct w:val="0"/>
              <w:bidi w:val="0"/>
              <w:adjustRightInd w:val="0"/>
              <w:spacing w:line="360" w:lineRule="exact"/>
              <w:ind w:firstLine="360" w:firstLineChars="200"/>
              <w:rPr>
                <w:rFonts w:ascii="宋体" w:hAnsi="宋体" w:cs="宋体"/>
                <w:sz w:val="18"/>
                <w:szCs w:val="18"/>
              </w:rPr>
            </w:pPr>
            <w:r>
              <w:rPr>
                <w:rFonts w:hint="eastAsia"/>
                <w:sz w:val="18"/>
                <w:szCs w:val="18"/>
              </w:rPr>
              <w:t>用于开展现代教 育技术优化的理实一体化教学，以及模拟组织幼儿园各类活动与评价等实训教学。</w:t>
            </w:r>
          </w:p>
        </w:tc>
        <w:tc>
          <w:tcPr>
            <w:tcW w:w="619" w:type="pct"/>
            <w:vAlign w:val="center"/>
          </w:tcPr>
          <w:p w14:paraId="6F25620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300</w:t>
            </w:r>
          </w:p>
        </w:tc>
        <w:tc>
          <w:tcPr>
            <w:tcW w:w="642" w:type="pct"/>
            <w:vAlign w:val="center"/>
          </w:tcPr>
          <w:p w14:paraId="518FFF9A">
            <w:pPr>
              <w:pageBreakBefore w:val="0"/>
              <w:kinsoku/>
              <w:wordWrap/>
              <w:overflowPunct/>
              <w:topLinePunct w:val="0"/>
              <w:bidi w:val="0"/>
              <w:spacing w:line="360" w:lineRule="exact"/>
              <w:jc w:val="center"/>
              <w:rPr>
                <w:rFonts w:ascii="宋体" w:hAnsi="宋体" w:cs="宋体"/>
                <w:sz w:val="18"/>
                <w:szCs w:val="18"/>
                <w:lang w:val="zh-CN"/>
              </w:rPr>
            </w:pPr>
            <w:r>
              <w:rPr>
                <w:rFonts w:hint="eastAsia" w:ascii="宋体" w:hAnsi="宋体" w:cs="宋体"/>
                <w:sz w:val="18"/>
                <w:szCs w:val="18"/>
              </w:rPr>
              <w:t>60</w:t>
            </w:r>
          </w:p>
        </w:tc>
        <w:tc>
          <w:tcPr>
            <w:tcW w:w="899" w:type="pct"/>
            <w:vAlign w:val="center"/>
          </w:tcPr>
          <w:p w14:paraId="322A5E05">
            <w:pPr>
              <w:pageBreakBefore w:val="0"/>
              <w:kinsoku/>
              <w:wordWrap/>
              <w:overflowPunct/>
              <w:topLinePunct w:val="0"/>
              <w:bidi w:val="0"/>
              <w:adjustRightInd w:val="0"/>
              <w:spacing w:line="360" w:lineRule="exact"/>
              <w:rPr>
                <w:sz w:val="18"/>
                <w:szCs w:val="18"/>
              </w:rPr>
            </w:pPr>
            <w:r>
              <w:rPr>
                <w:rFonts w:hint="eastAsia"/>
                <w:sz w:val="18"/>
                <w:szCs w:val="18"/>
              </w:rPr>
              <w:t>《幼儿园班级管理》</w:t>
            </w:r>
          </w:p>
          <w:p w14:paraId="3534297C">
            <w:pPr>
              <w:pageBreakBefore w:val="0"/>
              <w:kinsoku/>
              <w:wordWrap/>
              <w:overflowPunct/>
              <w:topLinePunct w:val="0"/>
              <w:bidi w:val="0"/>
              <w:adjustRightInd w:val="0"/>
              <w:spacing w:line="360" w:lineRule="exact"/>
              <w:rPr>
                <w:sz w:val="18"/>
                <w:szCs w:val="18"/>
              </w:rPr>
            </w:pPr>
            <w:r>
              <w:rPr>
                <w:rFonts w:hint="eastAsia"/>
                <w:sz w:val="18"/>
                <w:szCs w:val="18"/>
              </w:rPr>
              <w:t>《幼儿园教育活动设计与实施》</w:t>
            </w:r>
          </w:p>
          <w:p w14:paraId="45D0EB73">
            <w:pPr>
              <w:pageBreakBefore w:val="0"/>
              <w:kinsoku/>
              <w:wordWrap/>
              <w:overflowPunct/>
              <w:topLinePunct w:val="0"/>
              <w:bidi w:val="0"/>
              <w:adjustRightInd w:val="0"/>
              <w:spacing w:line="360" w:lineRule="exact"/>
              <w:rPr>
                <w:sz w:val="18"/>
                <w:szCs w:val="18"/>
              </w:rPr>
            </w:pPr>
            <w:r>
              <w:rPr>
                <w:rFonts w:hint="eastAsia"/>
                <w:sz w:val="18"/>
                <w:szCs w:val="18"/>
              </w:rPr>
              <w:t>《幼儿游戏活动指导》</w:t>
            </w:r>
          </w:p>
          <w:p w14:paraId="4F48CF5A">
            <w:pPr>
              <w:pageBreakBefore w:val="0"/>
              <w:kinsoku/>
              <w:wordWrap/>
              <w:overflowPunct/>
              <w:topLinePunct w:val="0"/>
              <w:bidi w:val="0"/>
              <w:adjustRightInd w:val="0"/>
              <w:spacing w:line="360" w:lineRule="exact"/>
              <w:rPr>
                <w:sz w:val="18"/>
                <w:szCs w:val="18"/>
              </w:rPr>
            </w:pPr>
            <w:r>
              <w:rPr>
                <w:rFonts w:hint="eastAsia"/>
                <w:sz w:val="18"/>
                <w:szCs w:val="18"/>
              </w:rPr>
              <w:t>《幼儿园教师艺术技能》</w:t>
            </w:r>
          </w:p>
          <w:p w14:paraId="38D1D806">
            <w:pPr>
              <w:pStyle w:val="2"/>
              <w:pageBreakBefore w:val="0"/>
              <w:kinsoku/>
              <w:wordWrap/>
              <w:overflowPunct/>
              <w:topLinePunct w:val="0"/>
              <w:bidi w:val="0"/>
              <w:spacing w:after="0" w:line="360" w:lineRule="exact"/>
              <w:rPr>
                <w:sz w:val="18"/>
                <w:szCs w:val="18"/>
              </w:rPr>
            </w:pPr>
            <w:r>
              <w:rPr>
                <w:rFonts w:hint="eastAsia"/>
                <w:sz w:val="18"/>
                <w:szCs w:val="18"/>
              </w:rPr>
              <w:t>《幼儿行为观察与评价》</w:t>
            </w:r>
          </w:p>
        </w:tc>
      </w:tr>
      <w:tr w14:paraId="1CF9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1" w:type="pct"/>
            <w:tcFitText/>
            <w:vAlign w:val="center"/>
          </w:tcPr>
          <w:p w14:paraId="75312F2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1080" w:type="pct"/>
            <w:vAlign w:val="center"/>
          </w:tcPr>
          <w:p w14:paraId="0D13E24A">
            <w:pPr>
              <w:pStyle w:val="6"/>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Times New Roman" w:hAnsi="Times New Roman"/>
                <w:b w:val="0"/>
                <w:color w:val="auto"/>
                <w:sz w:val="18"/>
                <w:szCs w:val="18"/>
              </w:rPr>
              <w:t>形体与舞蹈实训室</w:t>
            </w:r>
          </w:p>
        </w:tc>
        <w:tc>
          <w:tcPr>
            <w:tcW w:w="1376" w:type="pct"/>
            <w:vAlign w:val="center"/>
          </w:tcPr>
          <w:p w14:paraId="70ED881D">
            <w:pPr>
              <w:pageBreakBefore w:val="0"/>
              <w:kinsoku/>
              <w:wordWrap/>
              <w:overflowPunct/>
              <w:topLinePunct w:val="0"/>
              <w:bidi w:val="0"/>
              <w:adjustRightInd w:val="0"/>
              <w:spacing w:line="360" w:lineRule="exact"/>
              <w:ind w:firstLine="360" w:firstLineChars="200"/>
              <w:rPr>
                <w:rFonts w:ascii="宋体" w:hAnsi="宋体" w:cs="宋体"/>
                <w:b/>
                <w:sz w:val="18"/>
                <w:szCs w:val="18"/>
              </w:rPr>
            </w:pPr>
            <w:r>
              <w:rPr>
                <w:rFonts w:hint="eastAsia"/>
                <w:sz w:val="18"/>
                <w:szCs w:val="18"/>
              </w:rPr>
              <w:t>用于开展形体训练、舞蹈基础训练、儿童舞创编等实训教学，同时用于学生舞蹈表演、戏剧表演、舞蹈与戏剧创作创编等社团活动。</w:t>
            </w:r>
          </w:p>
        </w:tc>
        <w:tc>
          <w:tcPr>
            <w:tcW w:w="619" w:type="pct"/>
            <w:vAlign w:val="center"/>
          </w:tcPr>
          <w:p w14:paraId="12F5C65B">
            <w:pPr>
              <w:pStyle w:val="6"/>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b w:val="0"/>
                <w:color w:val="auto"/>
                <w:sz w:val="18"/>
                <w:szCs w:val="18"/>
              </w:rPr>
              <w:t>300</w:t>
            </w:r>
          </w:p>
        </w:tc>
        <w:tc>
          <w:tcPr>
            <w:tcW w:w="642" w:type="pct"/>
            <w:vAlign w:val="center"/>
          </w:tcPr>
          <w:p w14:paraId="174400B1">
            <w:pPr>
              <w:pStyle w:val="6"/>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b w:val="0"/>
                <w:color w:val="auto"/>
                <w:sz w:val="18"/>
                <w:szCs w:val="18"/>
              </w:rPr>
              <w:t>60</w:t>
            </w:r>
          </w:p>
        </w:tc>
        <w:tc>
          <w:tcPr>
            <w:tcW w:w="899" w:type="pct"/>
            <w:vAlign w:val="center"/>
          </w:tcPr>
          <w:p w14:paraId="2350CD81">
            <w:pPr>
              <w:pageBreakBefore w:val="0"/>
              <w:kinsoku/>
              <w:wordWrap/>
              <w:overflowPunct/>
              <w:topLinePunct w:val="0"/>
              <w:bidi w:val="0"/>
              <w:adjustRightInd w:val="0"/>
              <w:spacing w:line="360" w:lineRule="exact"/>
              <w:rPr>
                <w:sz w:val="18"/>
                <w:szCs w:val="18"/>
              </w:rPr>
            </w:pPr>
            <w:r>
              <w:rPr>
                <w:rFonts w:hint="eastAsia"/>
                <w:sz w:val="18"/>
                <w:szCs w:val="18"/>
              </w:rPr>
              <w:t>《幼儿舞蹈》</w:t>
            </w:r>
          </w:p>
          <w:p w14:paraId="0B4DC239">
            <w:pPr>
              <w:pageBreakBefore w:val="0"/>
              <w:kinsoku/>
              <w:wordWrap/>
              <w:overflowPunct/>
              <w:topLinePunct w:val="0"/>
              <w:bidi w:val="0"/>
              <w:adjustRightInd w:val="0"/>
              <w:spacing w:line="360" w:lineRule="exact"/>
              <w:rPr>
                <w:sz w:val="18"/>
                <w:szCs w:val="18"/>
              </w:rPr>
            </w:pPr>
            <w:r>
              <w:rPr>
                <w:rFonts w:hint="eastAsia"/>
                <w:sz w:val="18"/>
                <w:szCs w:val="18"/>
              </w:rPr>
              <w:t>《幼儿游戏活动指导》</w:t>
            </w:r>
          </w:p>
        </w:tc>
      </w:tr>
      <w:tr w14:paraId="0F5D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1" w:type="pct"/>
            <w:tcFitText/>
            <w:vAlign w:val="center"/>
          </w:tcPr>
          <w:p w14:paraId="3428E80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w:t>
            </w:r>
          </w:p>
        </w:tc>
        <w:tc>
          <w:tcPr>
            <w:tcW w:w="1080" w:type="pct"/>
            <w:vAlign w:val="center"/>
          </w:tcPr>
          <w:p w14:paraId="25C29092">
            <w:pPr>
              <w:pStyle w:val="6"/>
              <w:pageBreakBefore w:val="0"/>
              <w:kinsoku/>
              <w:wordWrap/>
              <w:overflowPunct/>
              <w:topLinePunct w:val="0"/>
              <w:bidi w:val="0"/>
              <w:spacing w:line="360" w:lineRule="exact"/>
              <w:jc w:val="center"/>
              <w:outlineLvl w:val="3"/>
              <w:rPr>
                <w:rFonts w:ascii="宋体" w:hAnsi="宋体" w:cs="宋体"/>
                <w:b w:val="0"/>
                <w:bCs/>
                <w:color w:val="auto"/>
                <w:sz w:val="18"/>
                <w:szCs w:val="18"/>
              </w:rPr>
            </w:pPr>
            <w:r>
              <w:rPr>
                <w:rFonts w:hint="eastAsia" w:ascii="宋体" w:hAnsi="宋体" w:cs="宋体"/>
                <w:b w:val="0"/>
                <w:bCs/>
                <w:color w:val="auto"/>
                <w:sz w:val="18"/>
                <w:szCs w:val="18"/>
              </w:rPr>
              <w:t>美术教育活动实训室</w:t>
            </w:r>
          </w:p>
        </w:tc>
        <w:tc>
          <w:tcPr>
            <w:tcW w:w="1376" w:type="pct"/>
            <w:vAlign w:val="center"/>
          </w:tcPr>
          <w:p w14:paraId="41B4921E">
            <w:pPr>
              <w:pageBreakBefore w:val="0"/>
              <w:kinsoku/>
              <w:wordWrap/>
              <w:overflowPunct/>
              <w:topLinePunct w:val="0"/>
              <w:bidi w:val="0"/>
              <w:adjustRightInd w:val="0"/>
              <w:spacing w:line="360" w:lineRule="exact"/>
              <w:ind w:firstLine="360" w:firstLineChars="200"/>
              <w:rPr>
                <w:rFonts w:ascii="宋体" w:hAnsi="宋体" w:cs="宋体"/>
                <w:bCs/>
                <w:sz w:val="18"/>
                <w:szCs w:val="18"/>
              </w:rPr>
            </w:pPr>
            <w:r>
              <w:rPr>
                <w:rFonts w:hint="eastAsia"/>
                <w:sz w:val="18"/>
                <w:szCs w:val="18"/>
              </w:rPr>
              <w:t>用于美术基础技能练习、儿童画创编及创作练习、幼儿园环境创设、幼儿园美术活动的组织实 施与评价等实训教学。</w:t>
            </w:r>
          </w:p>
        </w:tc>
        <w:tc>
          <w:tcPr>
            <w:tcW w:w="619" w:type="pct"/>
            <w:vAlign w:val="center"/>
          </w:tcPr>
          <w:p w14:paraId="2D213A13">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sz w:val="18"/>
                <w:szCs w:val="18"/>
              </w:rPr>
              <w:t>150</w:t>
            </w:r>
          </w:p>
        </w:tc>
        <w:tc>
          <w:tcPr>
            <w:tcW w:w="642" w:type="pct"/>
            <w:vAlign w:val="center"/>
          </w:tcPr>
          <w:p w14:paraId="2427CB04">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sz w:val="18"/>
                <w:szCs w:val="18"/>
              </w:rPr>
              <w:t>30</w:t>
            </w:r>
          </w:p>
        </w:tc>
        <w:tc>
          <w:tcPr>
            <w:tcW w:w="899" w:type="pct"/>
            <w:vAlign w:val="center"/>
          </w:tcPr>
          <w:p w14:paraId="625F4628">
            <w:pPr>
              <w:pageBreakBefore w:val="0"/>
              <w:kinsoku/>
              <w:wordWrap/>
              <w:overflowPunct/>
              <w:topLinePunct w:val="0"/>
              <w:bidi w:val="0"/>
              <w:adjustRightInd w:val="0"/>
              <w:spacing w:line="360" w:lineRule="exact"/>
              <w:rPr>
                <w:sz w:val="18"/>
                <w:szCs w:val="18"/>
              </w:rPr>
            </w:pPr>
            <w:r>
              <w:rPr>
                <w:rFonts w:hint="eastAsia"/>
                <w:sz w:val="18"/>
                <w:szCs w:val="18"/>
              </w:rPr>
              <w:t>《幼儿绘画》</w:t>
            </w:r>
          </w:p>
          <w:p w14:paraId="615D71B8">
            <w:pPr>
              <w:pageBreakBefore w:val="0"/>
              <w:kinsoku/>
              <w:wordWrap/>
              <w:overflowPunct/>
              <w:topLinePunct w:val="0"/>
              <w:bidi w:val="0"/>
              <w:adjustRightInd w:val="0"/>
              <w:spacing w:line="360" w:lineRule="exact"/>
              <w:rPr>
                <w:sz w:val="18"/>
                <w:szCs w:val="18"/>
              </w:rPr>
            </w:pPr>
            <w:r>
              <w:rPr>
                <w:rFonts w:hint="eastAsia"/>
                <w:sz w:val="18"/>
                <w:szCs w:val="18"/>
              </w:rPr>
              <w:t>《幼儿园玩教具制作》</w:t>
            </w:r>
          </w:p>
          <w:p w14:paraId="4CA6A9A2">
            <w:pPr>
              <w:pageBreakBefore w:val="0"/>
              <w:kinsoku/>
              <w:wordWrap/>
              <w:overflowPunct/>
              <w:topLinePunct w:val="0"/>
              <w:bidi w:val="0"/>
              <w:adjustRightInd w:val="0"/>
              <w:spacing w:line="360" w:lineRule="exact"/>
              <w:rPr>
                <w:sz w:val="18"/>
                <w:szCs w:val="18"/>
              </w:rPr>
            </w:pPr>
            <w:r>
              <w:rPr>
                <w:rFonts w:hint="eastAsia"/>
                <w:sz w:val="18"/>
                <w:szCs w:val="18"/>
              </w:rPr>
              <w:t>《幼儿园环境创设》</w:t>
            </w:r>
          </w:p>
        </w:tc>
      </w:tr>
      <w:tr w14:paraId="4F16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1" w:type="pct"/>
            <w:tcFitText/>
            <w:vAlign w:val="center"/>
          </w:tcPr>
          <w:p w14:paraId="1EF58DA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1080" w:type="pct"/>
            <w:vAlign w:val="center"/>
          </w:tcPr>
          <w:p w14:paraId="4F3510BD">
            <w:pPr>
              <w:pageBreakBefore w:val="0"/>
              <w:kinsoku/>
              <w:wordWrap/>
              <w:overflowPunct/>
              <w:topLinePunct w:val="0"/>
              <w:bidi w:val="0"/>
              <w:adjustRightInd w:val="0"/>
              <w:spacing w:line="360" w:lineRule="exact"/>
              <w:jc w:val="center"/>
              <w:rPr>
                <w:rFonts w:ascii="宋体" w:hAnsi="宋体" w:cs="宋体"/>
                <w:bCs/>
                <w:sz w:val="18"/>
                <w:szCs w:val="18"/>
              </w:rPr>
            </w:pPr>
            <w:r>
              <w:rPr>
                <w:rFonts w:hint="eastAsia"/>
                <w:sz w:val="18"/>
                <w:szCs w:val="18"/>
              </w:rPr>
              <w:t>钢琴教学实训室</w:t>
            </w:r>
          </w:p>
        </w:tc>
        <w:tc>
          <w:tcPr>
            <w:tcW w:w="1376" w:type="pct"/>
            <w:vAlign w:val="center"/>
          </w:tcPr>
          <w:p w14:paraId="540F3194">
            <w:pPr>
              <w:pageBreakBefore w:val="0"/>
              <w:kinsoku/>
              <w:wordWrap/>
              <w:overflowPunct/>
              <w:topLinePunct w:val="0"/>
              <w:bidi w:val="0"/>
              <w:adjustRightInd w:val="0"/>
              <w:spacing w:line="360" w:lineRule="exact"/>
              <w:ind w:firstLine="360" w:firstLineChars="200"/>
              <w:jc w:val="left"/>
              <w:rPr>
                <w:rFonts w:ascii="宋体" w:hAnsi="宋体" w:cs="宋体"/>
                <w:bCs/>
                <w:sz w:val="18"/>
                <w:szCs w:val="18"/>
              </w:rPr>
            </w:pPr>
            <w:r>
              <w:rPr>
                <w:rFonts w:hint="eastAsia"/>
                <w:sz w:val="18"/>
                <w:szCs w:val="18"/>
              </w:rPr>
              <w:t>用于钢琴基础技能练习、 幼儿歌曲弹唱能力训练等实训教学。</w:t>
            </w:r>
          </w:p>
        </w:tc>
        <w:tc>
          <w:tcPr>
            <w:tcW w:w="619" w:type="pct"/>
            <w:vAlign w:val="center"/>
          </w:tcPr>
          <w:p w14:paraId="08012398">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sz w:val="18"/>
                <w:szCs w:val="18"/>
              </w:rPr>
              <w:t>300</w:t>
            </w:r>
          </w:p>
        </w:tc>
        <w:tc>
          <w:tcPr>
            <w:tcW w:w="642" w:type="pct"/>
            <w:vAlign w:val="center"/>
          </w:tcPr>
          <w:p w14:paraId="7322EC97">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sz w:val="18"/>
                <w:szCs w:val="18"/>
              </w:rPr>
              <w:t>60</w:t>
            </w:r>
          </w:p>
        </w:tc>
        <w:tc>
          <w:tcPr>
            <w:tcW w:w="899" w:type="pct"/>
            <w:vAlign w:val="center"/>
          </w:tcPr>
          <w:p w14:paraId="085EBE4C">
            <w:pPr>
              <w:pageBreakBefore w:val="0"/>
              <w:kinsoku/>
              <w:wordWrap/>
              <w:overflowPunct/>
              <w:topLinePunct w:val="0"/>
              <w:bidi w:val="0"/>
              <w:adjustRightInd w:val="0"/>
              <w:spacing w:line="360" w:lineRule="exact"/>
              <w:rPr>
                <w:sz w:val="18"/>
                <w:szCs w:val="18"/>
              </w:rPr>
            </w:pPr>
            <w:r>
              <w:rPr>
                <w:rFonts w:hint="eastAsia"/>
                <w:sz w:val="18"/>
                <w:szCs w:val="18"/>
              </w:rPr>
              <w:t>《钢琴》</w:t>
            </w:r>
          </w:p>
          <w:p w14:paraId="3C383CDB">
            <w:pPr>
              <w:pageBreakBefore w:val="0"/>
              <w:kinsoku/>
              <w:wordWrap/>
              <w:overflowPunct/>
              <w:topLinePunct w:val="0"/>
              <w:bidi w:val="0"/>
              <w:adjustRightInd w:val="0"/>
              <w:spacing w:line="360" w:lineRule="exact"/>
              <w:rPr>
                <w:rFonts w:ascii="宋体" w:hAnsi="宋体" w:cs="宋体"/>
                <w:bCs/>
                <w:sz w:val="18"/>
                <w:szCs w:val="18"/>
              </w:rPr>
            </w:pPr>
            <w:r>
              <w:rPr>
                <w:rFonts w:hint="eastAsia"/>
                <w:sz w:val="18"/>
                <w:szCs w:val="18"/>
              </w:rPr>
              <w:t>《儿歌弹唱》</w:t>
            </w:r>
          </w:p>
        </w:tc>
      </w:tr>
    </w:tbl>
    <w:p w14:paraId="63AFF0E0">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3.校外实训基地基本要求</w:t>
      </w:r>
    </w:p>
    <w:p w14:paraId="7ECEC0C9">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校外实训基地应具备合法合规的资质，包括但不限于教育主管部门颁发的相关证书或许可证，以证明其具备开展学前教育实践活动的资格和能力。同时，基地单位的社会声誉和业界评价也应作为考察的重要参考。</w:t>
      </w:r>
    </w:p>
    <w:p w14:paraId="78FD1CF2">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 xml:space="preserve">校外实训基地的业务范围应与学前教育专业的教学实践需求紧密对接，能够为学生提供丰富的实践机会和真实的职业环境。基地单位应明确其在学前教育领域的功能定位，确保学生能够在实践中得到充分的锻炼和提升。 </w:t>
      </w:r>
    </w:p>
    <w:p w14:paraId="31C04CA1">
      <w:pPr>
        <w:pStyle w:val="2"/>
        <w:pageBreakBefore w:val="0"/>
        <w:kinsoku/>
        <w:wordWrap/>
        <w:overflowPunct/>
        <w:topLinePunct w:val="0"/>
        <w:bidi w:val="0"/>
        <w:adjustRightInd w:val="0"/>
        <w:snapToGrid w:val="0"/>
        <w:spacing w:after="0" w:line="360" w:lineRule="exact"/>
        <w:ind w:firstLine="420" w:firstLineChars="200"/>
        <w:jc w:val="left"/>
        <w:rPr>
          <w:b/>
          <w:bCs/>
          <w:szCs w:val="21"/>
        </w:rPr>
      </w:pPr>
      <w:r>
        <w:rPr>
          <w:rFonts w:hint="eastAsia"/>
          <w:szCs w:val="21"/>
        </w:rPr>
        <w:t>基地单位应为学生提供充足的实习时间和岗位，确保学生能够在实践中全面了解和掌握学前教育的各项知识和技能。同时，基地单位应配备经验丰富的指导教师和工作人员，对学生的实习过程进行全程跟踪和指导，帮助学生解决实践中的问题和困惑。</w:t>
      </w:r>
    </w:p>
    <w:p w14:paraId="637FDE1F">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校外实训基地概况</w:t>
      </w:r>
    </w:p>
    <w:tbl>
      <w:tblPr>
        <w:tblStyle w:val="15"/>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392"/>
        <w:gridCol w:w="2147"/>
        <w:gridCol w:w="2145"/>
        <w:gridCol w:w="1587"/>
      </w:tblGrid>
      <w:tr w14:paraId="60E2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vAlign w:val="center"/>
          </w:tcPr>
          <w:p w14:paraId="4A1DCB0B">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序号</w:t>
            </w:r>
          </w:p>
        </w:tc>
        <w:tc>
          <w:tcPr>
            <w:tcW w:w="1320" w:type="pct"/>
            <w:vAlign w:val="center"/>
          </w:tcPr>
          <w:p w14:paraId="59D68E3A">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校外实训基地名称</w:t>
            </w:r>
          </w:p>
        </w:tc>
        <w:tc>
          <w:tcPr>
            <w:tcW w:w="1185" w:type="pct"/>
            <w:vAlign w:val="center"/>
          </w:tcPr>
          <w:p w14:paraId="708BE299">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合作企业名称</w:t>
            </w:r>
          </w:p>
        </w:tc>
        <w:tc>
          <w:tcPr>
            <w:tcW w:w="1184" w:type="pct"/>
            <w:vAlign w:val="center"/>
          </w:tcPr>
          <w:p w14:paraId="597AADE5">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合作项目</w:t>
            </w:r>
          </w:p>
        </w:tc>
        <w:tc>
          <w:tcPr>
            <w:tcW w:w="876" w:type="pct"/>
            <w:vAlign w:val="center"/>
          </w:tcPr>
          <w:p w14:paraId="06903DC7">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合作深度</w:t>
            </w:r>
          </w:p>
        </w:tc>
      </w:tr>
      <w:tr w14:paraId="16EB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3E25959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1320" w:type="pct"/>
            <w:vAlign w:val="center"/>
          </w:tcPr>
          <w:p w14:paraId="4C2E67A1">
            <w:pPr>
              <w:pStyle w:val="6"/>
              <w:pageBreakBefore w:val="0"/>
              <w:kinsoku/>
              <w:wordWrap/>
              <w:overflowPunct/>
              <w:topLinePunct w:val="0"/>
              <w:bidi w:val="0"/>
              <w:spacing w:line="360" w:lineRule="exact"/>
              <w:jc w:val="center"/>
              <w:outlineLvl w:val="3"/>
              <w:rPr>
                <w:color w:val="auto"/>
                <w:sz w:val="18"/>
                <w:szCs w:val="18"/>
                <w:lang w:val="zh-CN"/>
              </w:rPr>
            </w:pPr>
            <w:r>
              <w:rPr>
                <w:rFonts w:hint="eastAsia" w:ascii="宋体" w:hAnsi="宋体" w:cs="宋体"/>
                <w:b w:val="0"/>
                <w:color w:val="auto"/>
                <w:sz w:val="18"/>
                <w:szCs w:val="18"/>
              </w:rPr>
              <w:t>许昌爱汀堡幼儿园</w:t>
            </w:r>
          </w:p>
        </w:tc>
        <w:tc>
          <w:tcPr>
            <w:tcW w:w="1185" w:type="pct"/>
            <w:vAlign w:val="center"/>
          </w:tcPr>
          <w:p w14:paraId="52DC3B03">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许昌市魏都区爱汀堡幼儿园</w:t>
            </w:r>
          </w:p>
        </w:tc>
        <w:tc>
          <w:tcPr>
            <w:tcW w:w="1184" w:type="pct"/>
            <w:vAlign w:val="center"/>
          </w:tcPr>
          <w:p w14:paraId="5C7806BD">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专业认知实习、岗位实习</w:t>
            </w:r>
          </w:p>
        </w:tc>
        <w:tc>
          <w:tcPr>
            <w:tcW w:w="876" w:type="pct"/>
            <w:vAlign w:val="center"/>
          </w:tcPr>
          <w:p w14:paraId="099EDBED">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深度合作</w:t>
            </w:r>
          </w:p>
        </w:tc>
      </w:tr>
      <w:tr w14:paraId="60AD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5C9B441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1320" w:type="pct"/>
            <w:vAlign w:val="center"/>
          </w:tcPr>
          <w:p w14:paraId="03C221B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北海瀚迪公学幼儿园</w:t>
            </w:r>
          </w:p>
        </w:tc>
        <w:tc>
          <w:tcPr>
            <w:tcW w:w="1185" w:type="pct"/>
            <w:vAlign w:val="center"/>
          </w:tcPr>
          <w:p w14:paraId="4A990054">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许昌市建安区</w:t>
            </w:r>
            <w:r>
              <w:rPr>
                <w:rFonts w:hint="eastAsia" w:ascii="宋体" w:hAnsi="宋体" w:cs="宋体"/>
                <w:sz w:val="18"/>
                <w:szCs w:val="18"/>
              </w:rPr>
              <w:t>瀚迪</w:t>
            </w:r>
            <w:r>
              <w:rPr>
                <w:rFonts w:hint="eastAsia" w:ascii="宋体" w:hAnsi="宋体" w:cs="宋体"/>
                <w:sz w:val="18"/>
                <w:szCs w:val="18"/>
                <w:lang w:val="en-US" w:eastAsia="zh-CN"/>
              </w:rPr>
              <w:t>北海龙城幼儿园</w:t>
            </w:r>
          </w:p>
        </w:tc>
        <w:tc>
          <w:tcPr>
            <w:tcW w:w="1184" w:type="pct"/>
            <w:vAlign w:val="center"/>
          </w:tcPr>
          <w:p w14:paraId="6671BB01">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专业认知实习</w:t>
            </w:r>
          </w:p>
        </w:tc>
        <w:tc>
          <w:tcPr>
            <w:tcW w:w="876" w:type="pct"/>
            <w:vAlign w:val="center"/>
          </w:tcPr>
          <w:p w14:paraId="2F6F37FB">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一般合作</w:t>
            </w:r>
          </w:p>
        </w:tc>
      </w:tr>
      <w:tr w14:paraId="3619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3C044C7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w:t>
            </w:r>
          </w:p>
        </w:tc>
        <w:tc>
          <w:tcPr>
            <w:tcW w:w="1320" w:type="pct"/>
            <w:vAlign w:val="center"/>
          </w:tcPr>
          <w:p w14:paraId="18837513">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许昌市政府机关幼儿园</w:t>
            </w:r>
          </w:p>
        </w:tc>
        <w:tc>
          <w:tcPr>
            <w:tcW w:w="1185" w:type="pct"/>
            <w:vAlign w:val="center"/>
          </w:tcPr>
          <w:p w14:paraId="105857F5">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许昌市</w:t>
            </w:r>
            <w:r>
              <w:rPr>
                <w:rFonts w:hint="eastAsia" w:ascii="宋体" w:hAnsi="宋体" w:cs="宋体"/>
                <w:b w:val="0"/>
                <w:color w:val="auto"/>
                <w:sz w:val="18"/>
                <w:szCs w:val="18"/>
                <w:lang w:val="en-US" w:eastAsia="zh-CN"/>
              </w:rPr>
              <w:t>人民</w:t>
            </w:r>
            <w:r>
              <w:rPr>
                <w:rFonts w:hint="eastAsia" w:ascii="宋体" w:hAnsi="宋体" w:cs="宋体"/>
                <w:b w:val="0"/>
                <w:color w:val="auto"/>
                <w:sz w:val="18"/>
                <w:szCs w:val="18"/>
              </w:rPr>
              <w:t>政府机关幼儿园</w:t>
            </w:r>
          </w:p>
        </w:tc>
        <w:tc>
          <w:tcPr>
            <w:tcW w:w="1184" w:type="pct"/>
            <w:vAlign w:val="center"/>
          </w:tcPr>
          <w:p w14:paraId="6409F4F7">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专业认知实习</w:t>
            </w:r>
          </w:p>
        </w:tc>
        <w:tc>
          <w:tcPr>
            <w:tcW w:w="876" w:type="pct"/>
            <w:vAlign w:val="center"/>
          </w:tcPr>
          <w:p w14:paraId="4E61C69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一般合作</w:t>
            </w:r>
          </w:p>
        </w:tc>
      </w:tr>
      <w:tr w14:paraId="1186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3D2A0E9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1320" w:type="pct"/>
            <w:vAlign w:val="center"/>
          </w:tcPr>
          <w:p w14:paraId="356DD91B">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蒙台梭利托育园</w:t>
            </w:r>
          </w:p>
        </w:tc>
        <w:tc>
          <w:tcPr>
            <w:tcW w:w="1185" w:type="pct"/>
            <w:vAlign w:val="center"/>
          </w:tcPr>
          <w:p w14:paraId="1CB41E8A">
            <w:pPr>
              <w:pStyle w:val="6"/>
              <w:pageBreakBefore w:val="0"/>
              <w:kinsoku/>
              <w:wordWrap/>
              <w:overflowPunct/>
              <w:topLinePunct w:val="0"/>
              <w:bidi w:val="0"/>
              <w:spacing w:line="360" w:lineRule="exact"/>
              <w:jc w:val="center"/>
              <w:outlineLvl w:val="3"/>
              <w:rPr>
                <w:rFonts w:hint="default" w:ascii="宋体" w:hAnsi="宋体" w:eastAsia="宋体" w:cs="宋体"/>
                <w:b w:val="0"/>
                <w:color w:val="auto"/>
                <w:sz w:val="18"/>
                <w:szCs w:val="18"/>
                <w:lang w:val="en-US" w:eastAsia="zh-CN"/>
              </w:rPr>
            </w:pPr>
            <w:r>
              <w:rPr>
                <w:rFonts w:hint="eastAsia" w:ascii="宋体" w:hAnsi="宋体" w:cs="宋体"/>
                <w:b w:val="0"/>
                <w:color w:val="auto"/>
                <w:sz w:val="18"/>
                <w:szCs w:val="18"/>
                <w:lang w:val="zh-CN"/>
              </w:rPr>
              <w:t>深圳慧文教育</w:t>
            </w:r>
            <w:r>
              <w:rPr>
                <w:rFonts w:hint="eastAsia" w:ascii="宋体" w:hAnsi="宋体" w:cs="宋体"/>
                <w:b w:val="0"/>
                <w:color w:val="auto"/>
                <w:sz w:val="18"/>
                <w:szCs w:val="18"/>
                <w:lang w:val="en-US" w:eastAsia="zh-CN"/>
              </w:rPr>
              <w:t>咨询有限公司</w:t>
            </w:r>
          </w:p>
        </w:tc>
        <w:tc>
          <w:tcPr>
            <w:tcW w:w="1184" w:type="pct"/>
            <w:vAlign w:val="center"/>
          </w:tcPr>
          <w:p w14:paraId="56414804">
            <w:pPr>
              <w:pageBreakBefore w:val="0"/>
              <w:kinsoku/>
              <w:wordWrap/>
              <w:overflowPunct/>
              <w:topLinePunct w:val="0"/>
              <w:bidi w:val="0"/>
              <w:spacing w:line="360" w:lineRule="exact"/>
              <w:jc w:val="center"/>
              <w:rPr>
                <w:rFonts w:ascii="宋体" w:hAnsi="宋体" w:cs="宋体"/>
                <w:sz w:val="18"/>
                <w:szCs w:val="18"/>
              </w:rPr>
            </w:pPr>
            <w:r>
              <w:rPr>
                <w:rFonts w:ascii="宋体" w:hAnsi="宋体" w:cs="宋体"/>
                <w:sz w:val="18"/>
                <w:szCs w:val="18"/>
              </w:rPr>
              <w:t>学生岗</w:t>
            </w:r>
            <w:r>
              <w:rPr>
                <w:rFonts w:hint="eastAsia" w:ascii="宋体" w:hAnsi="宋体" w:cs="宋体"/>
                <w:sz w:val="18"/>
                <w:szCs w:val="18"/>
              </w:rPr>
              <w:t>位</w:t>
            </w:r>
            <w:r>
              <w:rPr>
                <w:rFonts w:ascii="宋体" w:hAnsi="宋体" w:cs="宋体"/>
                <w:sz w:val="18"/>
                <w:szCs w:val="18"/>
              </w:rPr>
              <w:t>实习</w:t>
            </w:r>
          </w:p>
        </w:tc>
        <w:tc>
          <w:tcPr>
            <w:tcW w:w="876" w:type="pct"/>
            <w:vAlign w:val="center"/>
          </w:tcPr>
          <w:p w14:paraId="0CD55A3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深度合作</w:t>
            </w:r>
          </w:p>
        </w:tc>
      </w:tr>
      <w:tr w14:paraId="52D3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7149FB6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5</w:t>
            </w:r>
          </w:p>
        </w:tc>
        <w:tc>
          <w:tcPr>
            <w:tcW w:w="1320" w:type="pct"/>
            <w:vAlign w:val="center"/>
          </w:tcPr>
          <w:p w14:paraId="0BD974C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真爱幼幼早教机构</w:t>
            </w:r>
          </w:p>
        </w:tc>
        <w:tc>
          <w:tcPr>
            <w:tcW w:w="1185" w:type="pct"/>
            <w:vAlign w:val="center"/>
          </w:tcPr>
          <w:p w14:paraId="7851FDB9">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rPr>
              <w:t>北京奕杰</w:t>
            </w:r>
            <w:r>
              <w:rPr>
                <w:rFonts w:hint="eastAsia" w:ascii="宋体" w:hAnsi="宋体" w:cs="宋体"/>
                <w:sz w:val="18"/>
                <w:szCs w:val="18"/>
                <w:lang w:val="en-US" w:eastAsia="zh-CN"/>
              </w:rPr>
              <w:t>科技有限公司</w:t>
            </w:r>
          </w:p>
        </w:tc>
        <w:tc>
          <w:tcPr>
            <w:tcW w:w="1184" w:type="pct"/>
            <w:vAlign w:val="center"/>
          </w:tcPr>
          <w:p w14:paraId="42FC0D33">
            <w:pPr>
              <w:pageBreakBefore w:val="0"/>
              <w:kinsoku/>
              <w:wordWrap/>
              <w:overflowPunct/>
              <w:topLinePunct w:val="0"/>
              <w:bidi w:val="0"/>
              <w:spacing w:line="360" w:lineRule="exact"/>
              <w:jc w:val="center"/>
              <w:rPr>
                <w:rFonts w:ascii="宋体" w:hAnsi="宋体" w:cs="宋体"/>
                <w:sz w:val="18"/>
                <w:szCs w:val="18"/>
              </w:rPr>
            </w:pPr>
            <w:r>
              <w:rPr>
                <w:rFonts w:ascii="宋体" w:hAnsi="宋体" w:cs="宋体"/>
                <w:sz w:val="18"/>
                <w:szCs w:val="18"/>
              </w:rPr>
              <w:t>学生岗</w:t>
            </w:r>
            <w:r>
              <w:rPr>
                <w:rFonts w:hint="eastAsia" w:ascii="宋体" w:hAnsi="宋体" w:cs="宋体"/>
                <w:sz w:val="18"/>
                <w:szCs w:val="18"/>
              </w:rPr>
              <w:t>位</w:t>
            </w:r>
            <w:r>
              <w:rPr>
                <w:rFonts w:ascii="宋体" w:hAnsi="宋体" w:cs="宋体"/>
                <w:sz w:val="18"/>
                <w:szCs w:val="18"/>
              </w:rPr>
              <w:t>实习</w:t>
            </w:r>
          </w:p>
        </w:tc>
        <w:tc>
          <w:tcPr>
            <w:tcW w:w="876" w:type="pct"/>
            <w:vAlign w:val="center"/>
          </w:tcPr>
          <w:p w14:paraId="33283CC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深度合作</w:t>
            </w:r>
          </w:p>
        </w:tc>
      </w:tr>
      <w:tr w14:paraId="5A8F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60D276B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1320" w:type="pct"/>
            <w:vAlign w:val="center"/>
          </w:tcPr>
          <w:p w14:paraId="45A5DD9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许昌市文化街幼儿园</w:t>
            </w:r>
          </w:p>
        </w:tc>
        <w:tc>
          <w:tcPr>
            <w:tcW w:w="1185" w:type="pct"/>
            <w:shd w:val="clear" w:color="auto" w:fill="auto"/>
            <w:vAlign w:val="center"/>
          </w:tcPr>
          <w:p w14:paraId="66698F4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许昌市文化街幼儿园</w:t>
            </w:r>
          </w:p>
        </w:tc>
        <w:tc>
          <w:tcPr>
            <w:tcW w:w="1184" w:type="pct"/>
            <w:shd w:val="clear" w:color="auto" w:fill="auto"/>
            <w:vAlign w:val="center"/>
          </w:tcPr>
          <w:p w14:paraId="5EDFE847">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专业认知实习</w:t>
            </w:r>
          </w:p>
        </w:tc>
        <w:tc>
          <w:tcPr>
            <w:tcW w:w="876" w:type="pct"/>
            <w:shd w:val="clear" w:color="auto" w:fill="auto"/>
            <w:vAlign w:val="center"/>
          </w:tcPr>
          <w:p w14:paraId="404E1BB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一般合作</w:t>
            </w:r>
          </w:p>
        </w:tc>
      </w:tr>
      <w:tr w14:paraId="7434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5AF7207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7</w:t>
            </w:r>
          </w:p>
        </w:tc>
        <w:tc>
          <w:tcPr>
            <w:tcW w:w="1320" w:type="pct"/>
            <w:vAlign w:val="center"/>
          </w:tcPr>
          <w:p w14:paraId="7570B7E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许昌市实验幼儿园</w:t>
            </w:r>
          </w:p>
        </w:tc>
        <w:tc>
          <w:tcPr>
            <w:tcW w:w="1185" w:type="pct"/>
            <w:shd w:val="clear" w:color="auto" w:fill="auto"/>
            <w:vAlign w:val="center"/>
          </w:tcPr>
          <w:p w14:paraId="02DB9D8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许昌市实验幼儿园</w:t>
            </w:r>
          </w:p>
        </w:tc>
        <w:tc>
          <w:tcPr>
            <w:tcW w:w="1184" w:type="pct"/>
            <w:shd w:val="clear" w:color="auto" w:fill="auto"/>
            <w:vAlign w:val="center"/>
          </w:tcPr>
          <w:p w14:paraId="04A37FFB">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专业认知实习</w:t>
            </w:r>
          </w:p>
        </w:tc>
        <w:tc>
          <w:tcPr>
            <w:tcW w:w="876" w:type="pct"/>
            <w:shd w:val="clear" w:color="auto" w:fill="auto"/>
            <w:vAlign w:val="center"/>
          </w:tcPr>
          <w:p w14:paraId="27B6574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一般合作</w:t>
            </w:r>
          </w:p>
        </w:tc>
      </w:tr>
    </w:tbl>
    <w:p w14:paraId="7C640799">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4.学生实习基地基本要求</w:t>
      </w:r>
    </w:p>
    <w:p w14:paraId="3B841249">
      <w:pPr>
        <w:keepNext w:val="0"/>
        <w:keepLines w:val="0"/>
        <w:pageBreakBefore w:val="0"/>
        <w:widowControl w:val="0"/>
        <w:kinsoku/>
        <w:wordWrap/>
        <w:overflowPunct/>
        <w:topLinePunct w:val="0"/>
        <w:bidi w:val="0"/>
        <w:adjustRightInd w:val="0"/>
        <w:spacing w:line="360" w:lineRule="exact"/>
        <w:ind w:firstLine="420" w:firstLineChars="200"/>
        <w:textAlignment w:val="auto"/>
      </w:pPr>
      <w:bookmarkStart w:id="55" w:name="_Toc25415"/>
      <w:bookmarkStart w:id="56" w:name="_Toc22349"/>
      <w:r>
        <w:rPr>
          <w:rFonts w:hint="eastAsia"/>
        </w:rPr>
        <w:t>本专业校外实习基地为北京市、深圳市等示范幼儿园为主的优质幼儿园及相关教培机构。具有学前教育发展的科学理念和教育方法；达到一定接纳规模；师资力量强，能对学生进行实习指导与管理；保障学生日常工作、学习、生活，有安全、保险保障。</w:t>
      </w:r>
    </w:p>
    <w:p w14:paraId="5218E855">
      <w:pPr>
        <w:keepNext w:val="0"/>
        <w:keepLines w:val="0"/>
        <w:pageBreakBefore w:val="0"/>
        <w:widowControl w:val="0"/>
        <w:kinsoku/>
        <w:wordWrap/>
        <w:overflowPunct/>
        <w:topLinePunct w:val="0"/>
        <w:bidi w:val="0"/>
        <w:adjustRightInd w:val="0"/>
        <w:spacing w:line="360" w:lineRule="exact"/>
        <w:ind w:firstLine="420" w:firstLineChars="200"/>
        <w:textAlignment w:val="auto"/>
      </w:pPr>
      <w:r>
        <w:rPr>
          <w:rFonts w:hint="eastAsia"/>
        </w:rPr>
        <w:t>同时，专业也积极对外合作，开展访企拓岗工作，探索校企合作新模式。</w:t>
      </w:r>
    </w:p>
    <w:p w14:paraId="77163274">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（三）教学资源</w:t>
      </w:r>
      <w:bookmarkEnd w:id="55"/>
      <w:bookmarkEnd w:id="56"/>
    </w:p>
    <w:p w14:paraId="7D148917">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1.教材选用基本要求</w:t>
      </w:r>
    </w:p>
    <w:p w14:paraId="6EA69388">
      <w:pPr>
        <w:pStyle w:val="5"/>
        <w:keepNext w:val="0"/>
        <w:keepLines w:val="0"/>
        <w:pageBreakBefore w:val="0"/>
        <w:widowControl w:val="0"/>
        <w:kinsoku/>
        <w:wordWrap/>
        <w:overflowPunct/>
        <w:topLinePunct w:val="0"/>
        <w:bidi w:val="0"/>
        <w:adjustRightInd w:val="0"/>
        <w:spacing w:before="0" w:after="0" w:line="360" w:lineRule="exact"/>
        <w:ind w:firstLine="420" w:firstLineChars="200"/>
        <w:textAlignment w:val="auto"/>
        <w:rPr>
          <w:rFonts w:ascii="宋体" w:hAnsi="宋体" w:cs="宋体"/>
          <w:b w:val="0"/>
          <w:bCs w:val="0"/>
          <w:sz w:val="21"/>
          <w:szCs w:val="21"/>
        </w:rPr>
      </w:pPr>
      <w:r>
        <w:rPr>
          <w:rFonts w:hint="eastAsia" w:ascii="宋体" w:hAnsi="宋体" w:cs="宋体"/>
          <w:b w:val="0"/>
          <w:bCs w:val="0"/>
          <w:sz w:val="21"/>
          <w:szCs w:val="21"/>
        </w:rPr>
        <w:t>按照国家的规定，优选国家规划教材或省十四五规划职业教育教材，近三年出版为优（80%以上），专业课程教材体现新时代学前教育发展趋势。配备一定数字化教材等多种新形态教材，并进行动态更新。由专业教师初选、行业专家和教研人员等优化终选的方式选用教材，严格杜绝不合格的教材进入课堂。</w:t>
      </w:r>
    </w:p>
    <w:p w14:paraId="4250E710">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2.图书文献配备基本要求</w:t>
      </w:r>
    </w:p>
    <w:p w14:paraId="0761565A">
      <w:pPr>
        <w:pStyle w:val="5"/>
        <w:keepNext w:val="0"/>
        <w:keepLines w:val="0"/>
        <w:pageBreakBefore w:val="0"/>
        <w:widowControl w:val="0"/>
        <w:kinsoku/>
        <w:wordWrap/>
        <w:overflowPunct/>
        <w:topLinePunct w:val="0"/>
        <w:bidi w:val="0"/>
        <w:adjustRightInd w:val="0"/>
        <w:spacing w:before="0" w:after="0" w:line="360" w:lineRule="exact"/>
        <w:ind w:firstLine="420" w:firstLineChars="200"/>
        <w:textAlignment w:val="auto"/>
      </w:pPr>
      <w:r>
        <w:rPr>
          <w:rFonts w:hint="eastAsia" w:ascii="宋体" w:hAnsi="宋体" w:cs="宋体"/>
          <w:b w:val="0"/>
          <w:bCs w:val="0"/>
          <w:sz w:val="21"/>
          <w:szCs w:val="21"/>
        </w:rPr>
        <w:t>本专业的图书馆图书以生均30册书配置，并逐季更新。包括有关学前教育专业理论、技术、方法、思维以及实务操作类图书和文献。在数量和质量上能满足人才培养、专业建设、教科研等工作的需要，并能方便师生查询、借阅。</w:t>
      </w:r>
    </w:p>
    <w:p w14:paraId="2F9A3304">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3.数字教学资源配备基本要求</w:t>
      </w:r>
    </w:p>
    <w:p w14:paraId="27AF8E41">
      <w:pPr>
        <w:keepNext w:val="0"/>
        <w:keepLines w:val="0"/>
        <w:pageBreakBefore w:val="0"/>
        <w:widowControl w:val="0"/>
        <w:kinsoku/>
        <w:wordWrap/>
        <w:overflowPunct/>
        <w:topLinePunct w:val="0"/>
        <w:bidi w:val="0"/>
        <w:adjustRightInd w:val="0"/>
        <w:spacing w:line="360" w:lineRule="exact"/>
        <w:ind w:firstLine="420" w:firstLineChars="200"/>
        <w:textAlignment w:val="auto"/>
        <w:rPr>
          <w:szCs w:val="21"/>
        </w:rPr>
      </w:pPr>
      <w:bookmarkStart w:id="57" w:name="_Toc16895"/>
      <w:bookmarkStart w:id="58" w:name="_Toc9874"/>
      <w:r>
        <w:rPr>
          <w:rFonts w:hint="eastAsia"/>
          <w:szCs w:val="21"/>
        </w:rPr>
        <w:t>（1）专业核心在线课程建设。近年来，以慕课、微课程、翻转课堂、缓和式教学为代表的基于互联网的教学模式应运而生并走向实用。本校基于专业特色，选择专业核心课程进行专业核心在线课程建设。其突破了学生学习时间和空间的局限性，实现个性化线上学习，共享优质课程资源，扩大优质教育覆盖面，鼓励学生自主学习与合作学习、改革传统教学方式创造了非常有利的条件，有利于提高教学质量，改善教学效益。</w:t>
      </w:r>
    </w:p>
    <w:p w14:paraId="4E61FB39">
      <w:pPr>
        <w:keepNext w:val="0"/>
        <w:keepLines w:val="0"/>
        <w:pageBreakBefore w:val="0"/>
        <w:widowControl w:val="0"/>
        <w:kinsoku/>
        <w:wordWrap/>
        <w:overflowPunct/>
        <w:topLinePunct w:val="0"/>
        <w:bidi w:val="0"/>
        <w:adjustRightInd w:val="0"/>
        <w:spacing w:line="360" w:lineRule="exact"/>
        <w:ind w:firstLine="420" w:firstLineChars="200"/>
        <w:textAlignment w:val="auto"/>
        <w:rPr>
          <w:szCs w:val="21"/>
        </w:rPr>
      </w:pPr>
      <w:r>
        <w:rPr>
          <w:rFonts w:hint="eastAsia"/>
          <w:szCs w:val="21"/>
        </w:rPr>
        <w:t>（2）专业校内教学资源库建设。</w:t>
      </w:r>
      <w:r>
        <w:rPr>
          <w:rFonts w:hint="eastAsia" w:ascii="宋体" w:hAnsi="宋体" w:cs="宋体"/>
          <w:szCs w:val="21"/>
        </w:rPr>
        <w:t>所在系部和教研室还创新自建案例库，将所有教师将自己的教学案例集中整理，资源共享，并随时更新，形成了专业教学的一大特色。</w:t>
      </w:r>
    </w:p>
    <w:p w14:paraId="43F83C70">
      <w:pPr>
        <w:keepNext w:val="0"/>
        <w:keepLines w:val="0"/>
        <w:pageBreakBefore w:val="0"/>
        <w:widowControl w:val="0"/>
        <w:kinsoku/>
        <w:wordWrap/>
        <w:overflowPunct/>
        <w:topLinePunct w:val="0"/>
        <w:bidi w:val="0"/>
        <w:adjustRightInd w:val="0"/>
        <w:spacing w:line="360" w:lineRule="exact"/>
        <w:ind w:firstLine="420" w:firstLineChars="200"/>
        <w:textAlignment w:val="auto"/>
        <w:rPr>
          <w:rFonts w:ascii="宋体" w:hAnsi="宋体" w:cs="宋体"/>
          <w:szCs w:val="21"/>
        </w:rPr>
      </w:pPr>
      <w:r>
        <w:rPr>
          <w:rFonts w:hint="eastAsia"/>
          <w:szCs w:val="21"/>
        </w:rPr>
        <w:t>（3）开发、使用替代性虚拟仿真实训系统或仿真教学软件等。</w:t>
      </w:r>
      <w:r>
        <w:rPr>
          <w:rFonts w:hint="eastAsia" w:ascii="宋体" w:hAnsi="宋体" w:cs="宋体"/>
          <w:szCs w:val="21"/>
        </w:rPr>
        <w:t>根据本专业的现实需要和动态发展，建设、配备有本专业有关的音视频素材、教学课件、数字化教学案例库、虚拟仿真软件、数字教材等专业教学资源库，种类丰富、形式多样、使用便捷、动态更新，能满足教学要求。</w:t>
      </w:r>
    </w:p>
    <w:p w14:paraId="5B451159">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（四）教学方法</w:t>
      </w:r>
      <w:bookmarkEnd w:id="57"/>
      <w:bookmarkEnd w:id="58"/>
    </w:p>
    <w:p w14:paraId="55F9FCBC">
      <w:pPr>
        <w:keepNext w:val="0"/>
        <w:keepLines w:val="0"/>
        <w:pageBreakBefore w:val="0"/>
        <w:widowControl w:val="0"/>
        <w:kinsoku/>
        <w:wordWrap/>
        <w:overflowPunct/>
        <w:topLinePunct w:val="0"/>
        <w:bidi w:val="0"/>
        <w:adjustRightInd w:val="0"/>
        <w:spacing w:line="360" w:lineRule="exact"/>
        <w:ind w:firstLine="420" w:firstLineChars="200"/>
        <w:textAlignment w:val="auto"/>
        <w:rPr>
          <w:rFonts w:ascii="宋体" w:hAnsi="宋体" w:cs="宋体"/>
          <w:szCs w:val="21"/>
        </w:rPr>
      </w:pPr>
      <w:bookmarkStart w:id="59" w:name="_Toc31917"/>
      <w:bookmarkStart w:id="60" w:name="_Toc114"/>
      <w:r>
        <w:rPr>
          <w:rFonts w:hint="eastAsia" w:ascii="宋体" w:hAnsi="宋体" w:cs="宋体"/>
          <w:szCs w:val="21"/>
        </w:rPr>
        <w:t>从职业教育的应用性、技术性、适用性等要求出发。本专业的教学方法突出实践性特点：</w:t>
      </w:r>
    </w:p>
    <w:p w14:paraId="3B5B97FC">
      <w:pPr>
        <w:keepNext w:val="0"/>
        <w:keepLines w:val="0"/>
        <w:pageBreakBefore w:val="0"/>
        <w:widowControl w:val="0"/>
        <w:kinsoku/>
        <w:wordWrap/>
        <w:overflowPunct/>
        <w:topLinePunct w:val="0"/>
        <w:autoSpaceDE w:val="0"/>
        <w:autoSpaceDN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1.突出课堂教学情境化，在认知实习中贯穿教学做一体化，以案例分析、模拟情景、角色分工、游戏、活动等各种灵活多样的方式，实现课堂教学中的教学做一体化，理实一体化教学方案的探索与提高。在提高学生学习兴趣的同时，融入岗位认知。</w:t>
      </w:r>
    </w:p>
    <w:p w14:paraId="11B54EB9">
      <w:pPr>
        <w:keepNext w:val="0"/>
        <w:keepLines w:val="0"/>
        <w:pageBreakBefore w:val="0"/>
        <w:widowControl w:val="0"/>
        <w:kinsoku/>
        <w:wordWrap/>
        <w:overflowPunct/>
        <w:topLinePunct w:val="0"/>
        <w:autoSpaceDE w:val="0"/>
        <w:autoSpaceDN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2.认知实习和岗位实习制度。本专业第三和第四学期分别安排2周集中认知实习，第五和第六学期安排岗位实习，探索现代学徒制，以“师傅带徒弟”的方便，让企业有实践经验的老员工、技术能手，手把手教学生。使学生在认知实习的磨练中，完成从生手——熟手——能手的转变。实现从实习到就业专业技能的无缝衔接。</w:t>
      </w:r>
    </w:p>
    <w:p w14:paraId="72535AE0">
      <w:pPr>
        <w:keepNext w:val="0"/>
        <w:keepLines w:val="0"/>
        <w:pageBreakBefore w:val="0"/>
        <w:widowControl w:val="0"/>
        <w:kinsoku/>
        <w:wordWrap/>
        <w:overflowPunct/>
        <w:topLinePunct w:val="0"/>
        <w:autoSpaceDE w:val="0"/>
        <w:autoSpaceDN w:val="0"/>
        <w:bidi w:val="0"/>
        <w:spacing w:line="360" w:lineRule="exact"/>
        <w:ind w:firstLine="420" w:firstLineChars="200"/>
        <w:jc w:val="left"/>
        <w:textAlignment w:val="auto"/>
        <w:rPr>
          <w:szCs w:val="21"/>
          <w:lang w:val="zh-CN"/>
        </w:rPr>
      </w:pPr>
      <w:r>
        <w:rPr>
          <w:rFonts w:hint="eastAsia" w:ascii="宋体" w:hAnsi="宋体" w:cs="宋体"/>
          <w:szCs w:val="21"/>
        </w:rPr>
        <w:t>3.引入劳模教学示范课。专业教学中将充分利用这一资源，将劳模精神、劳模技能等各种方式传递到下一代。</w:t>
      </w:r>
    </w:p>
    <w:p w14:paraId="58AD6CE8">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（五）学习评价</w:t>
      </w:r>
      <w:bookmarkEnd w:id="59"/>
      <w:bookmarkEnd w:id="60"/>
    </w:p>
    <w:p w14:paraId="57D72592">
      <w:pPr>
        <w:keepNext w:val="0"/>
        <w:keepLines w:val="0"/>
        <w:pageBreakBefore w:val="0"/>
        <w:widowControl w:val="0"/>
        <w:kinsoku/>
        <w:wordWrap/>
        <w:overflowPunct/>
        <w:topLinePunct w:val="0"/>
        <w:autoSpaceDE w:val="0"/>
        <w:autoSpaceDN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1.严格落实培养目标和培养规格要求，以考试、考查、实践报告等多元化的方式，完成对学生的各项能力的全面考核与评价。</w:t>
      </w:r>
    </w:p>
    <w:p w14:paraId="369D61D4">
      <w:pPr>
        <w:keepNext w:val="0"/>
        <w:keepLines w:val="0"/>
        <w:pageBreakBefore w:val="0"/>
        <w:widowControl w:val="0"/>
        <w:kinsoku/>
        <w:wordWrap/>
        <w:overflowPunct/>
        <w:topLinePunct w:val="0"/>
        <w:autoSpaceDE w:val="0"/>
        <w:autoSpaceDN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2.注重学生平时表现和实践性活动(包括道德修养、创新活动、到课率等的综合表现)，平时考评成绩所占比例大于40%。</w:t>
      </w:r>
    </w:p>
    <w:p w14:paraId="66A13A97">
      <w:pPr>
        <w:keepNext w:val="0"/>
        <w:keepLines w:val="0"/>
        <w:pageBreakBefore w:val="0"/>
        <w:widowControl w:val="0"/>
        <w:kinsoku/>
        <w:wordWrap/>
        <w:overflowPunct/>
        <w:topLinePunct w:val="0"/>
        <w:autoSpaceDE w:val="0"/>
        <w:autoSpaceDN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3.引入实习单位评价机制。在实习中，应以实习单位的评价作为主要实习成绩。</w:t>
      </w:r>
    </w:p>
    <w:p w14:paraId="48FA6978">
      <w:pPr>
        <w:keepNext w:val="0"/>
        <w:keepLines w:val="0"/>
        <w:pageBreakBefore w:val="0"/>
        <w:widowControl w:val="0"/>
        <w:kinsoku/>
        <w:wordWrap/>
        <w:overflowPunct/>
        <w:topLinePunct w:val="0"/>
        <w:autoSpaceDE w:val="0"/>
        <w:autoSpaceDN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4.以证代考。本专业将组织学生考育婴师、营养保健师、幼儿教师、幼儿舞蹈教师、幼儿英语教师、蒙特梭利教育教师、早教开发教师等相关等级证书。如考取获证，相关课程免考，记载成绩为优秀。</w:t>
      </w:r>
    </w:p>
    <w:p w14:paraId="4A8F7DE7">
      <w:pPr>
        <w:pStyle w:val="4"/>
        <w:pageBreakBefore w:val="0"/>
        <w:kinsoku/>
        <w:wordWrap/>
        <w:overflowPunct/>
        <w:topLinePunct w:val="0"/>
        <w:bidi w:val="0"/>
        <w:adjustRightInd w:val="0"/>
        <w:spacing w:before="0" w:beforeLines="0" w:after="0" w:afterLines="0" w:line="360" w:lineRule="exact"/>
        <w:ind w:firstLine="420" w:firstLineChars="200"/>
        <w:rPr>
          <w:rFonts w:ascii="Times New Roman" w:hAnsi="Times New Roman"/>
          <w:color w:val="548DD4"/>
          <w:sz w:val="21"/>
          <w:szCs w:val="21"/>
          <w:lang w:val="zh-CN"/>
        </w:rPr>
      </w:pPr>
      <w:r>
        <w:rPr>
          <w:rFonts w:hint="eastAsia" w:ascii="宋体" w:hAnsi="宋体" w:cs="宋体"/>
          <w:b w:val="0"/>
          <w:bCs/>
          <w:sz w:val="21"/>
          <w:szCs w:val="21"/>
        </w:rPr>
        <w:t>5.毕业设计，根据具体情况，采取论文和实习报告等方式。</w:t>
      </w:r>
    </w:p>
    <w:p w14:paraId="02F702B7">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bookmarkStart w:id="61" w:name="_Toc5581"/>
      <w:bookmarkStart w:id="62" w:name="_Toc23478"/>
      <w:r>
        <w:rPr>
          <w:rFonts w:hint="eastAsia" w:ascii="宋体" w:hAnsi="宋体" w:cs="宋体"/>
          <w:b/>
          <w:bCs/>
          <w:szCs w:val="21"/>
        </w:rPr>
        <w:t>（六）质量管理</w:t>
      </w:r>
      <w:bookmarkEnd w:id="61"/>
      <w:bookmarkEnd w:id="62"/>
    </w:p>
    <w:p w14:paraId="74EEA8FA">
      <w:pPr>
        <w:pageBreakBefore w:val="0"/>
        <w:kinsoku/>
        <w:wordWrap/>
        <w:overflowPunct/>
        <w:topLinePunct w:val="0"/>
        <w:bidi w:val="0"/>
        <w:adjustRightInd w:val="0"/>
        <w:spacing w:line="360" w:lineRule="exact"/>
        <w:ind w:firstLine="422" w:firstLineChars="200"/>
        <w:rPr>
          <w:rFonts w:ascii="宋体" w:hAnsi="宋体" w:cs="宋体"/>
          <w:b/>
          <w:bCs/>
          <w:szCs w:val="21"/>
        </w:rPr>
      </w:pPr>
      <w:r>
        <w:rPr>
          <w:rFonts w:hint="eastAsia" w:ascii="宋体" w:hAnsi="宋体" w:cs="宋体"/>
          <w:b/>
          <w:bCs/>
          <w:szCs w:val="21"/>
        </w:rPr>
        <w:t>1.建立组织体系，成立教学质量保证机构</w:t>
      </w:r>
    </w:p>
    <w:p w14:paraId="1FF76D7B">
      <w:pPr>
        <w:pageBreakBefore w:val="0"/>
        <w:kinsoku/>
        <w:wordWrap/>
        <w:overflowPunct/>
        <w:topLinePunct w:val="0"/>
        <w:bidi w:val="0"/>
        <w:adjustRightInd w:val="0"/>
        <w:spacing w:line="360" w:lineRule="exact"/>
        <w:ind w:firstLine="420" w:firstLineChars="200"/>
        <w:rPr>
          <w:rFonts w:ascii="宋体" w:hAnsi="宋体" w:cs="宋体"/>
          <w:szCs w:val="21"/>
        </w:rPr>
      </w:pPr>
      <w:r>
        <w:rPr>
          <w:rFonts w:hint="eastAsia" w:ascii="宋体" w:hAnsi="宋体" w:cs="宋体"/>
          <w:szCs w:val="21"/>
        </w:rPr>
        <w:t>本专业的教学质量管理由学校、学院两级有关机构共同监督，结合教学诊断与改进，统筹各环节的教学质量管理活动，形成任务、职责、权限明确，相互协调、相互促进的质量管理保障体系。</w:t>
      </w:r>
    </w:p>
    <w:p w14:paraId="7B4341B0">
      <w:pPr>
        <w:pageBreakBefore w:val="0"/>
        <w:kinsoku/>
        <w:wordWrap/>
        <w:overflowPunct/>
        <w:topLinePunct w:val="0"/>
        <w:bidi w:val="0"/>
        <w:adjustRightInd w:val="0"/>
        <w:spacing w:line="360" w:lineRule="exact"/>
        <w:ind w:firstLine="422" w:firstLineChars="200"/>
        <w:rPr>
          <w:rFonts w:ascii="宋体" w:hAnsi="宋体" w:cs="宋体"/>
          <w:b/>
          <w:bCs/>
          <w:szCs w:val="21"/>
        </w:rPr>
      </w:pPr>
      <w:r>
        <w:rPr>
          <w:rFonts w:hint="eastAsia" w:ascii="宋体" w:hAnsi="宋体" w:cs="宋体"/>
          <w:b/>
          <w:bCs/>
          <w:szCs w:val="21"/>
        </w:rPr>
        <w:t>2.建立健全教学质量标准体系</w:t>
      </w:r>
    </w:p>
    <w:p w14:paraId="357BC2F2">
      <w:pPr>
        <w:pageBreakBefore w:val="0"/>
        <w:kinsoku/>
        <w:wordWrap/>
        <w:overflowPunct/>
        <w:topLinePunct w:val="0"/>
        <w:bidi w:val="0"/>
        <w:adjustRightInd w:val="0"/>
        <w:spacing w:line="360" w:lineRule="exact"/>
        <w:ind w:firstLine="420" w:firstLineChars="200"/>
      </w:pPr>
      <w:r>
        <w:rPr>
          <w:rFonts w:hint="eastAsia"/>
        </w:rPr>
        <w:t>（1）教学目标方面</w:t>
      </w:r>
    </w:p>
    <w:p w14:paraId="28806B28">
      <w:pPr>
        <w:pageBreakBefore w:val="0"/>
        <w:kinsoku/>
        <w:wordWrap/>
        <w:overflowPunct/>
        <w:topLinePunct w:val="0"/>
        <w:bidi w:val="0"/>
        <w:spacing w:line="360" w:lineRule="exact"/>
        <w:ind w:firstLine="420" w:firstLineChars="200"/>
      </w:pPr>
      <w:r>
        <w:rPr>
          <w:rFonts w:hint="eastAsia" w:ascii="微软雅黑" w:hAnsi="微软雅黑" w:eastAsia="微软雅黑" w:cs="微软雅黑"/>
        </w:rPr>
        <w:t>①</w:t>
      </w:r>
      <w:r>
        <w:rPr>
          <w:rFonts w:hint="eastAsia"/>
        </w:rPr>
        <w:t>人才培养目标定位</w:t>
      </w:r>
    </w:p>
    <w:p w14:paraId="41E060D2">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学前教育人才培养目标是人才培养过程的航向标，是高等院校实施人才培养质量监测的基础条件。培养目标的确立，对厘清专业核心课程定位、实施与评价具有一定的理论意义，对学生明确职业生涯发展方向具有一定的实践价值。高校应联合行业专家、企事业单位、行政部门人员及其他利益相关方对毕业5年左右师范生的职业发展进行监测，对毕业生的专业人才定位、专业领域发展、职业特征、专业素养与毕业生发展预期目标等进行监测与比较，并依据评价结果反馈修订人才培养目标。</w:t>
      </w:r>
    </w:p>
    <w:p w14:paraId="25B191D0">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ascii="微软雅黑" w:hAnsi="微软雅黑" w:eastAsia="微软雅黑" w:cs="微软雅黑"/>
        </w:rPr>
        <w:t>②</w:t>
      </w:r>
      <w:r>
        <w:rPr>
          <w:rFonts w:hint="eastAsia"/>
        </w:rPr>
        <w:t>人才培养模式改革</w:t>
      </w:r>
    </w:p>
    <w:p w14:paraId="64429EEC">
      <w:pPr>
        <w:keepNext w:val="0"/>
        <w:keepLines w:val="0"/>
        <w:pageBreakBefore w:val="0"/>
        <w:widowControl w:val="0"/>
        <w:kinsoku/>
        <w:wordWrap/>
        <w:overflowPunct/>
        <w:topLinePunct w:val="0"/>
        <w:bidi w:val="0"/>
        <w:snapToGrid/>
        <w:spacing w:line="360" w:lineRule="exact"/>
        <w:ind w:firstLine="420" w:firstLineChars="200"/>
        <w:textAlignment w:val="auto"/>
        <w:rPr>
          <w:szCs w:val="21"/>
        </w:rPr>
      </w:pPr>
      <w:r>
        <w:rPr>
          <w:rFonts w:hint="eastAsia"/>
        </w:rPr>
        <w:t>为保障教学质量体系有序运行，提升人才培养质量，高校应注重顶层设计，从管理制度着手，对学科建设、人才培养方案制定、课程建设与教学改革规划、课堂教学评价制度、师资队伍建设与团队管理办法、教学工作例会制度、教学检查制度、教师任职资格审查制度、青年教师导师制、教学督导制度、听课制度、教学考核一票否决制等方面进行监测。</w:t>
      </w:r>
    </w:p>
    <w:p w14:paraId="22F013F2">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ascii="微软雅黑" w:hAnsi="微软雅黑" w:eastAsia="微软雅黑" w:cs="微软雅黑"/>
        </w:rPr>
        <w:t>③</w:t>
      </w:r>
      <w:r>
        <w:rPr>
          <w:rFonts w:hint="eastAsia"/>
        </w:rPr>
        <w:t>专业建设与发展方向</w:t>
      </w:r>
    </w:p>
    <w:p w14:paraId="7BA61F72">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rPr>
        <w:t>围绕本专业人才培养目标，针对专业人才需求状况，突出培养特色，提高办学质量，把本专业建设成为整体规模适度，师资队伍结构合理，有较高的教学科研水平，教学条件优良，教学管理规范，专业特色鲜明的人才培养基地,规范主干课程，加强精品课程建设，力争建设几门校级精品课程，加大实践课程开设比例，加强专业技能培训，建立实践课程考核标准，强化课程的导向功能。</w:t>
      </w:r>
    </w:p>
    <w:p w14:paraId="62EE5454">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rPr>
        <w:t>（2）教学过程方面</w:t>
      </w:r>
    </w:p>
    <w:p w14:paraId="31028A6F">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ascii="微软雅黑" w:hAnsi="微软雅黑" w:eastAsia="微软雅黑" w:cs="微软雅黑"/>
        </w:rPr>
        <w:t>①</w:t>
      </w:r>
      <w:r>
        <w:rPr>
          <w:rFonts w:hint="eastAsia"/>
        </w:rPr>
        <w:t>课程体系的构建与课程标准的制定</w:t>
      </w:r>
    </w:p>
    <w:p w14:paraId="6C159D68">
      <w:pPr>
        <w:keepNext w:val="0"/>
        <w:keepLines w:val="0"/>
        <w:pageBreakBefore w:val="0"/>
        <w:widowControl w:val="0"/>
        <w:kinsoku/>
        <w:wordWrap/>
        <w:overflowPunct/>
        <w:topLinePunct w:val="0"/>
        <w:bidi w:val="0"/>
        <w:snapToGrid/>
        <w:spacing w:line="360" w:lineRule="exact"/>
        <w:ind w:firstLine="420" w:firstLineChars="200"/>
        <w:textAlignment w:val="auto"/>
        <w:rPr>
          <w:szCs w:val="21"/>
        </w:rPr>
      </w:pPr>
      <w:r>
        <w:rPr>
          <w:rFonts w:hint="eastAsia"/>
        </w:rPr>
        <w:t>高职学前教育专业的课程分为公共基础必修课、公共基础选修课、专业基础课、专业核心课、专业拓展课、专业实践课六个模块,这些模块组成学生的职业素质，形成综合职业能力。而每个模块相对应培养某种能力，如公共基础必修课和选修课模块培养学生作为一个合格的公民应有的基本素质；专业基础模块培养学生具备专业理论知识和思维；专业核心模块培养学生掌握岗位职业技术和方法；专业实践模块培养学生知识岗位要求的其他素质;专业拓展模块开拓学生视野，增长学生的知识。课程标准要</w:t>
      </w:r>
      <w:r>
        <w:rPr>
          <w:rFonts w:hint="eastAsia"/>
          <w:szCs w:val="21"/>
        </w:rPr>
        <w:t>贯彻党的教育方针，面向国家、地区基础教育改革发展和教师队伍建设重大战略需求，落实国家教师教育相关政策要求，符合学校办学定位，体现专业特色，并能够为师范生、教师、教学管理人员及其他利益相关方所理解和认同，定期对培养目标的合理性进行评价，并能够根据评价结果对培养目标进行必要修订。</w:t>
      </w:r>
    </w:p>
    <w:p w14:paraId="5BF9BADD">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ascii="微软雅黑" w:hAnsi="微软雅黑" w:eastAsia="微软雅黑" w:cs="微软雅黑"/>
        </w:rPr>
        <w:t>②</w:t>
      </w:r>
      <w:r>
        <w:rPr>
          <w:rFonts w:hint="eastAsia"/>
        </w:rPr>
        <w:t>“双师型”教学团队的配备与建设</w:t>
      </w:r>
    </w:p>
    <w:p w14:paraId="59815416">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驻园学习，增强实践能力，建立教师轮流培训制度，优先将幼儿园作为校外实训基地，与学校周边优秀的幼儿园进行合作，除了成为学生专业见习和毕业实习的合作园，同时也成为教师的实践学习的基地。</w:t>
      </w:r>
    </w:p>
    <w:p w14:paraId="6E93927E">
      <w:pPr>
        <w:pStyle w:val="20"/>
        <w:keepNext w:val="0"/>
        <w:keepLines w:val="0"/>
        <w:pageBreakBefore w:val="0"/>
        <w:widowControl w:val="0"/>
        <w:kinsoku/>
        <w:wordWrap/>
        <w:overflowPunct/>
        <w:topLinePunct w:val="0"/>
        <w:bidi w:val="0"/>
        <w:snapToGrid/>
        <w:spacing w:line="360" w:lineRule="exact"/>
        <w:textAlignment w:val="auto"/>
        <w:rPr>
          <w:sz w:val="21"/>
          <w:szCs w:val="21"/>
        </w:rPr>
      </w:pPr>
      <w:r>
        <w:rPr>
          <w:rFonts w:hint="eastAsia"/>
          <w:sz w:val="21"/>
          <w:szCs w:val="21"/>
        </w:rPr>
        <w:t>科学合理的考核制度，结合自身的特点，制定科学合理的考核制度，对教师的培养也应该注重“双师型”教师，兼顾专业理论和实践指导能力。强调对学生职业综合素养和实际动手操作能力的培养，教师不断提高自身的实践能力和教学能力。</w:t>
      </w:r>
    </w:p>
    <w:p w14:paraId="50A275FD">
      <w:pPr>
        <w:pStyle w:val="20"/>
        <w:keepNext w:val="0"/>
        <w:keepLines w:val="0"/>
        <w:pageBreakBefore w:val="0"/>
        <w:widowControl w:val="0"/>
        <w:kinsoku/>
        <w:wordWrap/>
        <w:overflowPunct/>
        <w:topLinePunct w:val="0"/>
        <w:bidi w:val="0"/>
        <w:snapToGrid/>
        <w:spacing w:line="360" w:lineRule="exact"/>
        <w:textAlignment w:val="auto"/>
        <w:rPr>
          <w:sz w:val="21"/>
          <w:szCs w:val="21"/>
        </w:rPr>
      </w:pPr>
      <w:r>
        <w:rPr>
          <w:rFonts w:hint="eastAsia"/>
          <w:sz w:val="21"/>
          <w:szCs w:val="21"/>
        </w:rPr>
        <w:t>建立健全“双师型”教师激励制度，鼓励教师进行产学研学习、专业技术能力培训等措施，提高已有教师团队的技能素质；</w:t>
      </w:r>
    </w:p>
    <w:p w14:paraId="357CA7EE">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ascii="微软雅黑" w:hAnsi="微软雅黑" w:eastAsia="微软雅黑" w:cs="微软雅黑"/>
        </w:rPr>
        <w:t>③</w:t>
      </w:r>
      <w:r>
        <w:rPr>
          <w:rFonts w:hint="eastAsia"/>
        </w:rPr>
        <w:t>职业技能训练与考核</w:t>
      </w:r>
    </w:p>
    <w:p w14:paraId="34E093BF">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rPr>
        <w:t>教师口语表达技能、书写规范汉字和书面表达技能、现代教育技术应用技能、音乐教育活动技能、美术教育活动技能、幼儿游戏活动设计与指导技能、幼儿园课程设计技能、幼儿园教学活动设计与组织技能、幼儿一日生活的组织和管理技能。</w:t>
      </w:r>
    </w:p>
    <w:p w14:paraId="51FBFEDA">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ascii="宋体" w:hAnsi="宋体" w:cs="宋体"/>
        </w:rPr>
        <w:t>④</w:t>
      </w:r>
      <w:r>
        <w:rPr>
          <w:rFonts w:hint="eastAsia"/>
        </w:rPr>
        <w:t>一线教学的运行与管理</w:t>
      </w:r>
    </w:p>
    <w:p w14:paraId="4DBD63B7">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cs="宋体"/>
          <w:szCs w:val="21"/>
        </w:rPr>
      </w:pPr>
      <w:r>
        <w:rPr>
          <w:rFonts w:hint="eastAsia" w:ascii="宋体" w:hAnsi="宋体" w:cs="宋体"/>
          <w:szCs w:val="21"/>
        </w:rPr>
        <w:t>教学计划的制定和执行。在教学计划制定时，需要根据课程目标和要求，结合实际情况制定细致、合理的教学计划，并落实到具体的教学过程中。同时，还需要对教学计划的执行情况进行监控和评估，确保教学按照计划有序地进行。</w:t>
      </w:r>
    </w:p>
    <w:p w14:paraId="54E3D4A6">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cs="宋体"/>
          <w:szCs w:val="21"/>
        </w:rPr>
      </w:pPr>
      <w:r>
        <w:rPr>
          <w:rFonts w:hint="eastAsia" w:ascii="宋体" w:hAnsi="宋体" w:cs="宋体"/>
          <w:szCs w:val="21"/>
        </w:rPr>
        <w:t>教学内容的设计与实施。教学内容的设计需要符合国家课程标准和教学大纲的要求，同时还需要结合实际情况，灵活设置教学内容，使之更好地适应学生的需求和特点。实施时需要做好教学准备工作，确保教学设备和材料的完备性和有效性，同时还需要注意教学环节的互动和反馈，及时调整教学策略和方法，达到更好的教学效果。</w:t>
      </w:r>
    </w:p>
    <w:p w14:paraId="316364BA">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cs="宋体"/>
          <w:szCs w:val="21"/>
        </w:rPr>
      </w:pPr>
      <w:r>
        <w:rPr>
          <w:rFonts w:hint="eastAsia" w:ascii="宋体" w:hAnsi="宋体" w:cs="宋体"/>
          <w:szCs w:val="21"/>
        </w:rPr>
        <w:t>教学评价的实施与反馈。教学评价是教学过程监控的重要环节，需要对学生在教学过程中的表现和成绩进行全面、客观的评价。同时还需要将评价结果及时反馈给学生，并结合评价结果对教学过程进行改进和优化。</w:t>
      </w:r>
    </w:p>
    <w:p w14:paraId="358FB555">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cs="宋体"/>
          <w:szCs w:val="21"/>
        </w:rPr>
      </w:pPr>
      <w:r>
        <w:rPr>
          <w:rFonts w:hint="eastAsia" w:ascii="宋体" w:hAnsi="宋体" w:cs="宋体"/>
          <w:szCs w:val="21"/>
        </w:rPr>
        <w:t>教学团队的建设和管理。教学团队是高职一线教学的核心力量，需要建立健全的师资队伍，落实科研和教学相结合的理念，促进教学团队的协作和创新，提高教学水平和能力。</w:t>
      </w:r>
    </w:p>
    <w:p w14:paraId="0120E8F9">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rPr>
        <w:t>（3）教学结果方面</w:t>
      </w:r>
    </w:p>
    <w:p w14:paraId="009B386A">
      <w:pPr>
        <w:keepNext w:val="0"/>
        <w:keepLines w:val="0"/>
        <w:pageBreakBefore w:val="0"/>
        <w:widowControl w:val="0"/>
        <w:kinsoku/>
        <w:wordWrap/>
        <w:overflowPunct/>
        <w:topLinePunct w:val="0"/>
        <w:autoSpaceDE w:val="0"/>
        <w:autoSpaceDN w:val="0"/>
        <w:bidi w:val="0"/>
        <w:snapToGrid/>
        <w:spacing w:line="360" w:lineRule="exact"/>
        <w:ind w:firstLine="396" w:firstLineChars="200"/>
        <w:jc w:val="left"/>
        <w:textAlignment w:val="auto"/>
        <w:rPr>
          <w:spacing w:val="-6"/>
        </w:rPr>
      </w:pPr>
      <w:r>
        <w:rPr>
          <w:rFonts w:hint="eastAsia"/>
          <w:spacing w:val="-6"/>
        </w:rPr>
        <w:t>掌握教育科学和学前儿童身心发展以及保育教育的基础知识、基本理论和基本技能，熟悉幼儿建构知识、获得技能、品德塑造、习惯形成的过程，熟悉幼儿年龄阶段特征和个体发展的差异性。</w:t>
      </w:r>
    </w:p>
    <w:p w14:paraId="17FC50F3">
      <w:pPr>
        <w:keepNext w:val="0"/>
        <w:keepLines w:val="0"/>
        <w:pageBreakBefore w:val="0"/>
        <w:widowControl w:val="0"/>
        <w:kinsoku/>
        <w:wordWrap/>
        <w:overflowPunct/>
        <w:topLinePunct w:val="0"/>
        <w:autoSpaceDE w:val="0"/>
        <w:autoSpaceDN w:val="0"/>
        <w:bidi w:val="0"/>
        <w:snapToGrid/>
        <w:spacing w:line="360" w:lineRule="exact"/>
        <w:ind w:firstLine="420" w:firstLineChars="200"/>
        <w:jc w:val="left"/>
        <w:textAlignment w:val="auto"/>
        <w:rPr>
          <w:rFonts w:ascii="宋体" w:hAnsi="宋体" w:cs="宋体"/>
          <w:szCs w:val="21"/>
        </w:rPr>
      </w:pPr>
      <w:r>
        <w:rPr>
          <w:rFonts w:hint="eastAsia" w:ascii="宋体" w:hAnsi="宋体" w:cs="宋体"/>
        </w:rPr>
        <w:t>熟悉幼儿园教育的目标、任务、内容、要求和基本原则，掌握幼儿园健康、语言、社会、科学、艺术等各领域教育的学科特点与基本知识。</w:t>
      </w:r>
    </w:p>
    <w:p w14:paraId="2830446A">
      <w:pPr>
        <w:pStyle w:val="22"/>
        <w:keepNext w:val="0"/>
        <w:keepLines w:val="0"/>
        <w:pageBreakBefore w:val="0"/>
        <w:widowControl w:val="0"/>
        <w:kinsoku/>
        <w:wordWrap/>
        <w:overflowPunct/>
        <w:topLinePunct w:val="0"/>
        <w:bidi w:val="0"/>
        <w:snapToGrid/>
        <w:spacing w:line="360" w:lineRule="exact"/>
        <w:ind w:firstLine="420"/>
        <w:textAlignment w:val="auto"/>
        <w:rPr>
          <w:rFonts w:ascii="宋体" w:hAnsi="宋体" w:eastAsia="宋体" w:cs="宋体"/>
        </w:rPr>
      </w:pPr>
      <w:r>
        <w:rPr>
          <w:rFonts w:hint="eastAsia" w:ascii="宋体" w:hAnsi="宋体" w:eastAsia="宋体" w:cs="宋体"/>
        </w:rPr>
        <w:t>有合格的幼儿教师语言技能、书写技能、音乐技能、美术技能、舞蹈技能，具备良好的信息素养，能够较为熟练地把现代信息技术应用于教育教学。</w:t>
      </w:r>
    </w:p>
    <w:p w14:paraId="31C20992">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cs="宋体"/>
          <w:szCs w:val="21"/>
        </w:rPr>
      </w:pPr>
      <w:r>
        <w:rPr>
          <w:rFonts w:hint="eastAsia" w:ascii="宋体" w:hAnsi="宋体" w:cs="宋体"/>
          <w:szCs w:val="21"/>
        </w:rPr>
        <w:t>以良好的团队精神和协作意识与同事共同完成幼儿教育与管理的工作任务；以严谨、求实的工作作风完成每一项幼儿教育与管理的工作任务并认真记录好数据；树立理论与实践相结合的学习理念，树立终身学习的教育思想。</w:t>
      </w:r>
    </w:p>
    <w:p w14:paraId="1CBC1BEA">
      <w:pPr>
        <w:keepNext w:val="0"/>
        <w:keepLines w:val="0"/>
        <w:pageBreakBefore w:val="0"/>
        <w:widowControl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3.完善教学管理制度</w:t>
      </w:r>
    </w:p>
    <w:p w14:paraId="1F8F928D">
      <w:pPr>
        <w:pStyle w:val="2"/>
        <w:keepNext w:val="0"/>
        <w:keepLines w:val="0"/>
        <w:pageBreakBefore w:val="0"/>
        <w:widowControl w:val="0"/>
        <w:kinsoku/>
        <w:wordWrap/>
        <w:overflowPunct/>
        <w:topLinePunct w:val="0"/>
        <w:bidi w:val="0"/>
        <w:snapToGrid/>
        <w:spacing w:after="0" w:line="360" w:lineRule="exact"/>
        <w:ind w:firstLine="420" w:firstLineChars="200"/>
        <w:textAlignment w:val="auto"/>
        <w:rPr>
          <w:rFonts w:ascii="宋体" w:hAnsi="宋体" w:cs="宋体"/>
          <w:szCs w:val="21"/>
        </w:rPr>
      </w:pPr>
      <w:r>
        <w:rPr>
          <w:rFonts w:hint="eastAsia" w:ascii="宋体" w:hAnsi="宋体" w:cs="宋体"/>
          <w:szCs w:val="21"/>
        </w:rPr>
        <w:t>学校层面负责全校教学工作的决策、计划、组织、调控和评价，对学校教学建设、教学过程、师资队伍等教学日常运行管理和教学质量进行监控。学院层面具体实施教学各环节质量监控，专业负责人、教研室主任、课程负责人对课程标准等事项研讨与决策；教研室主任、课程负责人、任课教师、实践指导教师主要负责教学计划、课程环节以及其它教学工作的具体实施。</w:t>
      </w:r>
    </w:p>
    <w:p w14:paraId="1F0A9972">
      <w:pPr>
        <w:pStyle w:val="2"/>
        <w:keepNext w:val="0"/>
        <w:keepLines w:val="0"/>
        <w:pageBreakBefore w:val="0"/>
        <w:widowControl w:val="0"/>
        <w:kinsoku/>
        <w:wordWrap/>
        <w:overflowPunct/>
        <w:topLinePunct w:val="0"/>
        <w:bidi w:val="0"/>
        <w:snapToGrid/>
        <w:spacing w:after="0" w:line="360" w:lineRule="exact"/>
        <w:ind w:firstLine="422" w:firstLineChars="200"/>
        <w:textAlignment w:val="auto"/>
        <w:rPr>
          <w:rFonts w:ascii="宋体" w:hAnsi="宋体" w:cs="宋体"/>
          <w:b/>
          <w:bCs/>
          <w:szCs w:val="21"/>
        </w:rPr>
      </w:pPr>
      <w:r>
        <w:rPr>
          <w:rFonts w:hint="eastAsia" w:ascii="宋体" w:hAnsi="宋体" w:cs="宋体"/>
          <w:b/>
          <w:bCs/>
          <w:szCs w:val="21"/>
        </w:rPr>
        <w:t>4.</w:t>
      </w:r>
      <w:r>
        <w:rPr>
          <w:rFonts w:ascii="宋体" w:hAnsi="宋体" w:cs="宋体"/>
          <w:b/>
          <w:bCs/>
          <w:szCs w:val="21"/>
        </w:rPr>
        <w:t>建立健全质量监控机制</w:t>
      </w:r>
    </w:p>
    <w:p w14:paraId="28C0E02A">
      <w:pPr>
        <w:pStyle w:val="2"/>
        <w:keepNext w:val="0"/>
        <w:keepLines w:val="0"/>
        <w:pageBreakBefore w:val="0"/>
        <w:widowControl w:val="0"/>
        <w:kinsoku/>
        <w:wordWrap/>
        <w:overflowPunct/>
        <w:topLinePunct w:val="0"/>
        <w:bidi w:val="0"/>
        <w:snapToGrid/>
        <w:spacing w:after="0" w:line="360" w:lineRule="exact"/>
        <w:ind w:firstLine="420" w:firstLineChars="200"/>
        <w:textAlignment w:val="auto"/>
        <w:rPr>
          <w:rFonts w:ascii="宋体" w:hAnsi="宋体" w:cs="宋体"/>
          <w:szCs w:val="21"/>
        </w:rPr>
      </w:pPr>
      <w:r>
        <w:rPr>
          <w:rFonts w:ascii="宋体" w:hAnsi="宋体" w:cs="宋体"/>
          <w:szCs w:val="21"/>
        </w:rPr>
        <w:t>对教学目标的合理性进行定期评价，根据评价结果对培养目标进行必要修订。</w:t>
      </w:r>
    </w:p>
    <w:p w14:paraId="1605BD7D">
      <w:pPr>
        <w:pStyle w:val="2"/>
        <w:keepNext w:val="0"/>
        <w:keepLines w:val="0"/>
        <w:pageBreakBefore w:val="0"/>
        <w:widowControl w:val="0"/>
        <w:kinsoku/>
        <w:wordWrap/>
        <w:overflowPunct/>
        <w:topLinePunct w:val="0"/>
        <w:bidi w:val="0"/>
        <w:snapToGrid/>
        <w:spacing w:after="0" w:line="360" w:lineRule="exact"/>
        <w:ind w:firstLine="420" w:firstLineChars="200"/>
        <w:textAlignment w:val="auto"/>
        <w:rPr>
          <w:rFonts w:ascii="宋体" w:hAnsi="宋体" w:cs="宋体"/>
          <w:szCs w:val="21"/>
        </w:rPr>
      </w:pPr>
      <w:r>
        <w:rPr>
          <w:rFonts w:ascii="宋体" w:hAnsi="宋体" w:cs="宋体"/>
          <w:szCs w:val="21"/>
        </w:rPr>
        <w:t>对教学过程中的课程体系构建、“双师型”教学团队建设、职业技能训练与考核、一线教学运行与管理等各个环节进行监控，确保教学工作按照计划有序进行，教学内容符合要求，教学方法和手段能够有效提高教学质量。</w:t>
      </w:r>
    </w:p>
    <w:p w14:paraId="607C9109">
      <w:pPr>
        <w:pStyle w:val="2"/>
        <w:pageBreakBefore w:val="0"/>
        <w:kinsoku/>
        <w:wordWrap/>
        <w:overflowPunct/>
        <w:topLinePunct w:val="0"/>
        <w:bidi w:val="0"/>
        <w:spacing w:after="0" w:line="360" w:lineRule="exact"/>
        <w:ind w:firstLine="420" w:firstLineChars="200"/>
      </w:pPr>
      <w:r>
        <w:rPr>
          <w:rFonts w:ascii="宋体" w:hAnsi="宋体" w:cs="宋体"/>
          <w:szCs w:val="21"/>
        </w:rPr>
        <w:t>对教学结果进行评估，检查学生是否达到毕业要求，是否具备相应的素质、知识和能力。</w:t>
      </w:r>
    </w:p>
    <w:p w14:paraId="7E0C331C">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5.建立反馈机制及社会评价机制</w:t>
      </w:r>
    </w:p>
    <w:p w14:paraId="309FC41E">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在反馈评价机制建立过程中，我校会从多方面获取反馈信息作为重要的建立依据和凭证。</w:t>
      </w:r>
    </w:p>
    <w:p w14:paraId="3DF5E3BA">
      <w:pPr>
        <w:pageBreakBefore w:val="0"/>
        <w:kinsoku/>
        <w:wordWrap/>
        <w:overflowPunct/>
        <w:topLinePunct w:val="0"/>
        <w:bidi w:val="0"/>
        <w:spacing w:line="360" w:lineRule="exact"/>
        <w:ind w:firstLine="420" w:firstLineChars="200"/>
      </w:pPr>
      <w:r>
        <w:rPr>
          <w:rFonts w:hint="eastAsia" w:ascii="宋体" w:hAnsi="宋体" w:cs="宋体"/>
          <w:szCs w:val="21"/>
        </w:rPr>
        <w:t>在思想方面，</w:t>
      </w:r>
      <w:r>
        <w:rPr>
          <w:rFonts w:hint="eastAsia"/>
        </w:rPr>
        <w:t>坚持育人为本。用新时代党的创新理论铸魂育人，广泛践行社会主义核心价值观，遵循学生成长规律和教育规律，大力发展高质量教育。坚持政府统筹，充分发挥政府统筹协调作用，加强系统谋划，推动部门联动，强化条件保障，促进资源共享和协同育人有效实施。坚持协同共育，明确学校家庭社会协同育人责任，完善工作机制，促进各展优势、密切配合、相互支持，切实增强育人合力，共同担负起学生成长成才的重要责任。坚持问题导向，强化专业指导，鼓励实践探索，着力解决制度建设、指导服务、条件保障等方面存在的突出问题，不断增强协同育人的科学性针对性实效性。</w:t>
      </w:r>
    </w:p>
    <w:p w14:paraId="0243F4E2">
      <w:pPr>
        <w:pageBreakBefore w:val="0"/>
        <w:kinsoku/>
        <w:wordWrap/>
        <w:overflowPunct/>
        <w:topLinePunct w:val="0"/>
        <w:bidi w:val="0"/>
        <w:spacing w:line="360" w:lineRule="exact"/>
        <w:ind w:firstLine="420" w:firstLineChars="200"/>
        <w:rPr>
          <w:rFonts w:ascii="宋体" w:hAnsi="宋体" w:cs="宋体"/>
          <w:szCs w:val="21"/>
        </w:rPr>
      </w:pPr>
      <w:r>
        <w:rPr>
          <w:rFonts w:hint="eastAsia"/>
        </w:rPr>
        <w:t>在工作方面，一方面从师生参与的相关竞赛来获取</w:t>
      </w:r>
      <w:r>
        <w:rPr>
          <w:rFonts w:hint="eastAsia" w:ascii="宋体" w:hAnsi="宋体" w:cs="宋体"/>
          <w:szCs w:val="21"/>
        </w:rPr>
        <w:t>社会评价及反馈，例如</w:t>
      </w:r>
      <w:r>
        <w:rPr>
          <w:rFonts w:hint="eastAsia"/>
        </w:rPr>
        <w:t>职业技能竞赛，我校职业技能竞赛获奖率为20%。另</w:t>
      </w:r>
      <w:r>
        <w:rPr>
          <w:rFonts w:hint="eastAsia" w:ascii="宋体" w:hAnsi="宋体" w:cs="宋体"/>
          <w:szCs w:val="21"/>
        </w:rPr>
        <w:t>一方面从毕业生方面获取社会评价及反馈。例如学生毕业率、毕业生就业率等方面，截止2024年9月1日，许昌陶瓷职业学院2024届毕业生签就业协议形式就业率为90.8%，签劳动合同形式就2.3%，应征义务兵0.39%，待就业4.21%，自主创业0.26%，升学2.04%。</w:t>
      </w:r>
    </w:p>
    <w:p w14:paraId="5D8FD80F">
      <w:pPr>
        <w:pageBreakBefore w:val="0"/>
        <w:kinsoku/>
        <w:wordWrap/>
        <w:overflowPunct/>
        <w:topLinePunct w:val="0"/>
        <w:bidi w:val="0"/>
        <w:spacing w:line="360" w:lineRule="exact"/>
        <w:ind w:firstLine="420" w:firstLineChars="200"/>
        <w:rPr>
          <w:rFonts w:ascii="宋体" w:hAnsi="宋体" w:cs="宋体"/>
          <w:szCs w:val="21"/>
        </w:rPr>
      </w:pPr>
      <w:r>
        <w:rPr>
          <w:rFonts w:hint="eastAsia"/>
        </w:rPr>
        <w:t>总之，坚持以习近平新时代中国特色社会主义思想为指导，认真贯彻落实习近平总书记关于教育建设的重要论述，全面贯彻党的教育方针，落实立德树人根本任务，弘扬中华优秀传统文化，坚持科学教育观念，增强协同育人共识，积极构建社会协同育人新格局，建立健全学校反馈机制和社会反馈机制，着力培养德智体美劳全面发展的社会主义建设者和接班人。</w:t>
      </w:r>
    </w:p>
    <w:p w14:paraId="2B86EAED">
      <w:pPr>
        <w:pStyle w:val="3"/>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九、毕业要求</w:t>
      </w:r>
    </w:p>
    <w:p w14:paraId="050D3AC4">
      <w:pPr>
        <w:pageBreakBefore w:val="0"/>
        <w:kinsoku/>
        <w:wordWrap/>
        <w:overflowPunct/>
        <w:topLinePunct w:val="0"/>
        <w:bidi w:val="0"/>
        <w:spacing w:line="360" w:lineRule="exact"/>
        <w:ind w:firstLine="420" w:firstLineChars="200"/>
        <w:rPr>
          <w:rFonts w:ascii="宋体" w:hAnsi="宋体" w:cs="宋体"/>
          <w:szCs w:val="21"/>
        </w:rPr>
      </w:pPr>
      <w:bookmarkStart w:id="63" w:name="_Toc22818"/>
      <w:bookmarkStart w:id="64" w:name="_Toc7526"/>
      <w:bookmarkStart w:id="65" w:name="_Toc27960"/>
      <w:r>
        <w:rPr>
          <w:rFonts w:hint="eastAsia" w:ascii="宋体" w:hAnsi="宋体" w:cs="宋体"/>
          <w:szCs w:val="21"/>
        </w:rPr>
        <w:t>毕业要求是学生通过规定年限的学习，须修满的专业人才培养方案所规定的学时学分，完成规定的教学活动，毕业时应达到的素质、知识和能力等方面要求。毕业要求应能支撑培养目标的有效达成。</w:t>
      </w:r>
    </w:p>
    <w:p w14:paraId="5A92D77F">
      <w:pPr>
        <w:pageBreakBefore w:val="0"/>
        <w:kinsoku/>
        <w:wordWrap/>
        <w:overflowPunct/>
        <w:topLinePunct w:val="0"/>
        <w:bidi w:val="0"/>
        <w:spacing w:line="360" w:lineRule="exact"/>
        <w:ind w:firstLine="422" w:firstLineChars="200"/>
        <w:rPr>
          <w:rFonts w:ascii="宋体" w:hAnsi="宋体" w:cs="宋体"/>
          <w:b/>
          <w:bCs/>
          <w:color w:val="auto"/>
          <w:szCs w:val="21"/>
          <w:lang w:val="zh-CN"/>
        </w:rPr>
      </w:pPr>
      <w:bookmarkStart w:id="66" w:name="_Toc16516681"/>
      <w:r>
        <w:rPr>
          <w:rFonts w:hint="eastAsia" w:ascii="宋体" w:hAnsi="宋体" w:cs="宋体"/>
          <w:b/>
          <w:bCs/>
          <w:color w:val="auto"/>
          <w:szCs w:val="21"/>
          <w:lang w:val="zh-CN"/>
        </w:rPr>
        <w:t>(一)毕业学分要求</w:t>
      </w:r>
      <w:bookmarkEnd w:id="66"/>
    </w:p>
    <w:p w14:paraId="4DB71170">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1．本专业修够14</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学分方能毕业。其中：</w:t>
      </w:r>
    </w:p>
    <w:p w14:paraId="248F14AF">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◆公共必修课共</w:t>
      </w:r>
      <w:r>
        <w:rPr>
          <w:rFonts w:hint="eastAsia" w:ascii="宋体" w:hAnsi="宋体" w:cs="宋体"/>
          <w:color w:val="auto"/>
          <w:sz w:val="21"/>
          <w:szCs w:val="21"/>
          <w:lang w:val="en-US" w:eastAsia="zh-CN"/>
        </w:rPr>
        <w:t>42</w:t>
      </w:r>
      <w:r>
        <w:rPr>
          <w:rFonts w:hint="eastAsia" w:ascii="宋体" w:hAnsi="宋体" w:eastAsia="宋体" w:cs="宋体"/>
          <w:color w:val="auto"/>
          <w:sz w:val="21"/>
          <w:szCs w:val="21"/>
        </w:rPr>
        <w:t>学分。</w:t>
      </w:r>
    </w:p>
    <w:p w14:paraId="0E6E3EF6">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◆专业技能课、专业</w:t>
      </w:r>
      <w:r>
        <w:rPr>
          <w:rFonts w:hint="eastAsia" w:ascii="宋体" w:hAnsi="宋体" w:eastAsia="宋体" w:cs="宋体"/>
          <w:color w:val="auto"/>
          <w:sz w:val="21"/>
          <w:szCs w:val="21"/>
          <w:lang w:val="en-US" w:eastAsia="zh-CN"/>
        </w:rPr>
        <w:t>拓展</w:t>
      </w:r>
      <w:r>
        <w:rPr>
          <w:rFonts w:hint="eastAsia" w:ascii="宋体" w:hAnsi="宋体" w:eastAsia="宋体" w:cs="宋体"/>
          <w:color w:val="auto"/>
          <w:sz w:val="21"/>
          <w:szCs w:val="21"/>
        </w:rPr>
        <w:t>课、专业</w:t>
      </w:r>
      <w:r>
        <w:rPr>
          <w:rFonts w:hint="eastAsia" w:ascii="宋体" w:hAnsi="宋体" w:eastAsia="宋体" w:cs="宋体"/>
          <w:color w:val="auto"/>
          <w:sz w:val="21"/>
          <w:szCs w:val="21"/>
          <w:lang w:val="en-US" w:eastAsia="zh-CN"/>
        </w:rPr>
        <w:t>实践</w:t>
      </w:r>
      <w:r>
        <w:rPr>
          <w:rFonts w:hint="eastAsia" w:ascii="宋体" w:hAnsi="宋体" w:eastAsia="宋体" w:cs="宋体"/>
          <w:color w:val="auto"/>
          <w:sz w:val="21"/>
          <w:szCs w:val="21"/>
        </w:rPr>
        <w:t>课共</w:t>
      </w:r>
      <w:r>
        <w:rPr>
          <w:rFonts w:hint="eastAsia" w:ascii="宋体" w:hAnsi="宋体" w:cs="宋体"/>
          <w:color w:val="auto"/>
          <w:sz w:val="21"/>
          <w:szCs w:val="21"/>
          <w:lang w:val="en-US" w:eastAsia="zh-CN"/>
        </w:rPr>
        <w:t>94</w:t>
      </w:r>
      <w:r>
        <w:rPr>
          <w:rFonts w:hint="eastAsia" w:ascii="宋体" w:hAnsi="宋体" w:eastAsia="宋体" w:cs="宋体"/>
          <w:color w:val="auto"/>
          <w:sz w:val="21"/>
          <w:szCs w:val="21"/>
        </w:rPr>
        <w:t>学分。</w:t>
      </w:r>
    </w:p>
    <w:p w14:paraId="112945C9">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◆公共选修课</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学分。</w:t>
      </w:r>
    </w:p>
    <w:p w14:paraId="651C3D97">
      <w:pPr>
        <w:pageBreakBefore w:val="0"/>
        <w:kinsoku/>
        <w:wordWrap/>
        <w:overflowPunct/>
        <w:topLinePunct w:val="0"/>
        <w:bidi w:val="0"/>
        <w:adjustRightInd w:val="0"/>
        <w:spacing w:line="360" w:lineRule="exact"/>
        <w:ind w:firstLine="420" w:firstLineChars="200"/>
        <w:rPr>
          <w:rFonts w:ascii="宋体" w:hAnsi="宋体" w:cs="宋体"/>
        </w:rPr>
      </w:pPr>
      <w:r>
        <w:rPr>
          <w:rFonts w:hint="eastAsia" w:ascii="宋体" w:hAnsi="宋体" w:eastAsia="宋体" w:cs="宋体"/>
          <w:color w:val="auto"/>
          <w:sz w:val="21"/>
          <w:szCs w:val="21"/>
        </w:rPr>
        <w:t>2. 鼓励学生参加各类职业技能竞赛、专项竞赛、创新设计、科技活动、艺术实</w:t>
      </w:r>
      <w:r>
        <w:rPr>
          <w:rFonts w:hint="eastAsia" w:ascii="宋体" w:hAnsi="宋体" w:eastAsia="宋体" w:cs="宋体"/>
          <w:sz w:val="21"/>
          <w:szCs w:val="21"/>
        </w:rPr>
        <w:t>践、社团活动、志愿服务等，提高学生的综合能力和职业素养，取得的成果学分转换情况详见</w:t>
      </w:r>
      <w:r>
        <w:rPr>
          <w:rFonts w:hint="eastAsia" w:ascii="宋体" w:hAnsi="宋体" w:eastAsia="宋体" w:cs="宋体"/>
          <w:sz w:val="21"/>
          <w:szCs w:val="21"/>
          <w:lang w:val="en-US" w:eastAsia="zh-CN"/>
        </w:rPr>
        <w:t>下</w:t>
      </w:r>
      <w:r>
        <w:rPr>
          <w:rFonts w:hint="eastAsia" w:ascii="宋体" w:hAnsi="宋体" w:eastAsia="宋体" w:cs="宋体"/>
          <w:sz w:val="21"/>
          <w:szCs w:val="21"/>
        </w:rPr>
        <w:t>表所示</w:t>
      </w:r>
      <w:r>
        <w:rPr>
          <w:rFonts w:hint="eastAsia" w:ascii="宋体" w:hAnsi="宋体" w:cs="宋体"/>
        </w:rPr>
        <w:t>。</w:t>
      </w:r>
    </w:p>
    <w:p w14:paraId="18591A18">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学前教育专业学分转换情况表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06EB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B58853F">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序号</w:t>
            </w:r>
          </w:p>
        </w:tc>
        <w:tc>
          <w:tcPr>
            <w:tcW w:w="1860" w:type="dxa"/>
            <w:vAlign w:val="center"/>
          </w:tcPr>
          <w:p w14:paraId="33D47014">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项目</w:t>
            </w:r>
          </w:p>
        </w:tc>
        <w:tc>
          <w:tcPr>
            <w:tcW w:w="2675" w:type="dxa"/>
            <w:gridSpan w:val="2"/>
            <w:vAlign w:val="center"/>
          </w:tcPr>
          <w:p w14:paraId="2BBA2C74">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要求</w:t>
            </w:r>
          </w:p>
        </w:tc>
        <w:tc>
          <w:tcPr>
            <w:tcW w:w="962" w:type="dxa"/>
            <w:vAlign w:val="center"/>
          </w:tcPr>
          <w:p w14:paraId="3385B719">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学分</w:t>
            </w:r>
          </w:p>
        </w:tc>
        <w:tc>
          <w:tcPr>
            <w:tcW w:w="2921" w:type="dxa"/>
            <w:vAlign w:val="center"/>
          </w:tcPr>
          <w:p w14:paraId="4C97ACF8">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替换的课程或课程类型</w:t>
            </w:r>
          </w:p>
        </w:tc>
      </w:tr>
      <w:tr w14:paraId="0600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66AF46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1860" w:type="dxa"/>
            <w:vAlign w:val="center"/>
          </w:tcPr>
          <w:p w14:paraId="1F73272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高级保育师证书</w:t>
            </w:r>
          </w:p>
        </w:tc>
        <w:tc>
          <w:tcPr>
            <w:tcW w:w="2675" w:type="dxa"/>
            <w:gridSpan w:val="2"/>
            <w:vAlign w:val="center"/>
          </w:tcPr>
          <w:p w14:paraId="35C05B1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通过考试并获得证书</w:t>
            </w:r>
          </w:p>
        </w:tc>
        <w:tc>
          <w:tcPr>
            <w:tcW w:w="962" w:type="dxa"/>
            <w:vAlign w:val="center"/>
          </w:tcPr>
          <w:p w14:paraId="4AFC99C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Align w:val="center"/>
          </w:tcPr>
          <w:p w14:paraId="2876D19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学前儿童卫生与保健</w:t>
            </w:r>
          </w:p>
        </w:tc>
      </w:tr>
      <w:tr w14:paraId="6CF2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2D4936C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1860" w:type="dxa"/>
            <w:vMerge w:val="restart"/>
            <w:vAlign w:val="center"/>
          </w:tcPr>
          <w:p w14:paraId="0461236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职业技能竞赛/</w:t>
            </w:r>
          </w:p>
          <w:p w14:paraId="2CC64F3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学科竞赛</w:t>
            </w:r>
          </w:p>
        </w:tc>
        <w:tc>
          <w:tcPr>
            <w:tcW w:w="1445" w:type="dxa"/>
            <w:vMerge w:val="restart"/>
            <w:vAlign w:val="center"/>
          </w:tcPr>
          <w:p w14:paraId="28B1017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国家级</w:t>
            </w:r>
          </w:p>
        </w:tc>
        <w:tc>
          <w:tcPr>
            <w:tcW w:w="1230" w:type="dxa"/>
            <w:vAlign w:val="center"/>
          </w:tcPr>
          <w:p w14:paraId="294CCC2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6820924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12</w:t>
            </w:r>
          </w:p>
        </w:tc>
        <w:tc>
          <w:tcPr>
            <w:tcW w:w="2921" w:type="dxa"/>
            <w:vMerge w:val="restart"/>
            <w:vAlign w:val="center"/>
          </w:tcPr>
          <w:p w14:paraId="6D28254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专业基础/专业核心课</w:t>
            </w:r>
          </w:p>
          <w:p w14:paraId="38C824D1">
            <w:pPr>
              <w:pageBreakBefore w:val="0"/>
              <w:kinsoku/>
              <w:wordWrap/>
              <w:overflowPunct/>
              <w:topLinePunct w:val="0"/>
              <w:bidi w:val="0"/>
              <w:spacing w:line="360" w:lineRule="exact"/>
              <w:jc w:val="center"/>
              <w:rPr>
                <w:rFonts w:ascii="宋体" w:hAnsi="宋体" w:cs="宋体"/>
                <w:sz w:val="18"/>
                <w:szCs w:val="18"/>
              </w:rPr>
            </w:pPr>
          </w:p>
        </w:tc>
      </w:tr>
      <w:tr w14:paraId="31DC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5902FFF">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5C58F1D1">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666F219F">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15B8137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3788696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249F435F">
            <w:pPr>
              <w:pageBreakBefore w:val="0"/>
              <w:kinsoku/>
              <w:wordWrap/>
              <w:overflowPunct/>
              <w:topLinePunct w:val="0"/>
              <w:bidi w:val="0"/>
              <w:spacing w:line="360" w:lineRule="exact"/>
              <w:jc w:val="center"/>
              <w:rPr>
                <w:rFonts w:ascii="宋体" w:hAnsi="宋体" w:cs="宋体"/>
                <w:sz w:val="18"/>
                <w:szCs w:val="18"/>
              </w:rPr>
            </w:pPr>
          </w:p>
        </w:tc>
      </w:tr>
      <w:tr w14:paraId="78D2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F1B51AC">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6B0DEE27">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3A153C9A">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3D51EDD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三等奖</w:t>
            </w:r>
          </w:p>
        </w:tc>
        <w:tc>
          <w:tcPr>
            <w:tcW w:w="962" w:type="dxa"/>
            <w:vAlign w:val="center"/>
          </w:tcPr>
          <w:p w14:paraId="4F63C97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38553E4B">
            <w:pPr>
              <w:pageBreakBefore w:val="0"/>
              <w:kinsoku/>
              <w:wordWrap/>
              <w:overflowPunct/>
              <w:topLinePunct w:val="0"/>
              <w:bidi w:val="0"/>
              <w:spacing w:line="360" w:lineRule="exact"/>
              <w:jc w:val="center"/>
              <w:rPr>
                <w:rFonts w:ascii="宋体" w:hAnsi="宋体" w:cs="宋体"/>
                <w:sz w:val="18"/>
                <w:szCs w:val="18"/>
              </w:rPr>
            </w:pPr>
          </w:p>
        </w:tc>
      </w:tr>
      <w:tr w14:paraId="6830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0F3BB6D">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150908AE">
            <w:pPr>
              <w:pageBreakBefore w:val="0"/>
              <w:kinsoku/>
              <w:wordWrap/>
              <w:overflowPunct/>
              <w:topLinePunct w:val="0"/>
              <w:bidi w:val="0"/>
              <w:spacing w:line="360" w:lineRule="exact"/>
              <w:jc w:val="center"/>
              <w:rPr>
                <w:rFonts w:ascii="宋体" w:hAnsi="宋体" w:cs="宋体"/>
                <w:sz w:val="18"/>
                <w:szCs w:val="18"/>
              </w:rPr>
            </w:pPr>
          </w:p>
        </w:tc>
        <w:tc>
          <w:tcPr>
            <w:tcW w:w="1445" w:type="dxa"/>
            <w:vMerge w:val="restart"/>
            <w:vAlign w:val="center"/>
          </w:tcPr>
          <w:p w14:paraId="5E209A4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省级</w:t>
            </w:r>
          </w:p>
        </w:tc>
        <w:tc>
          <w:tcPr>
            <w:tcW w:w="1230" w:type="dxa"/>
            <w:vAlign w:val="center"/>
          </w:tcPr>
          <w:p w14:paraId="2A2C9F2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32E3AC0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416A0349">
            <w:pPr>
              <w:pageBreakBefore w:val="0"/>
              <w:kinsoku/>
              <w:wordWrap/>
              <w:overflowPunct/>
              <w:topLinePunct w:val="0"/>
              <w:bidi w:val="0"/>
              <w:spacing w:line="360" w:lineRule="exact"/>
              <w:jc w:val="center"/>
              <w:rPr>
                <w:rFonts w:ascii="宋体" w:hAnsi="宋体" w:cs="宋体"/>
                <w:sz w:val="18"/>
                <w:szCs w:val="18"/>
              </w:rPr>
            </w:pPr>
          </w:p>
        </w:tc>
      </w:tr>
      <w:tr w14:paraId="7BBF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16FD583">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02AFE170">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793D3EB4">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7625179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24C59FF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08C301F5">
            <w:pPr>
              <w:pageBreakBefore w:val="0"/>
              <w:kinsoku/>
              <w:wordWrap/>
              <w:overflowPunct/>
              <w:topLinePunct w:val="0"/>
              <w:bidi w:val="0"/>
              <w:spacing w:line="360" w:lineRule="exact"/>
              <w:jc w:val="center"/>
              <w:rPr>
                <w:rFonts w:ascii="宋体" w:hAnsi="宋体" w:cs="宋体"/>
                <w:sz w:val="18"/>
                <w:szCs w:val="18"/>
              </w:rPr>
            </w:pPr>
          </w:p>
        </w:tc>
      </w:tr>
      <w:tr w14:paraId="385F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E7C0E66">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12DA3F50">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5B7B7844">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179F43C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三等奖</w:t>
            </w:r>
          </w:p>
        </w:tc>
        <w:tc>
          <w:tcPr>
            <w:tcW w:w="962" w:type="dxa"/>
            <w:vAlign w:val="center"/>
          </w:tcPr>
          <w:p w14:paraId="7214BC2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continue"/>
            <w:vAlign w:val="center"/>
          </w:tcPr>
          <w:p w14:paraId="3FF13BA3">
            <w:pPr>
              <w:pageBreakBefore w:val="0"/>
              <w:kinsoku/>
              <w:wordWrap/>
              <w:overflowPunct/>
              <w:topLinePunct w:val="0"/>
              <w:bidi w:val="0"/>
              <w:spacing w:line="360" w:lineRule="exact"/>
              <w:jc w:val="center"/>
              <w:rPr>
                <w:rFonts w:ascii="宋体" w:hAnsi="宋体" w:cs="宋体"/>
                <w:sz w:val="18"/>
                <w:szCs w:val="18"/>
              </w:rPr>
            </w:pPr>
          </w:p>
        </w:tc>
      </w:tr>
      <w:tr w14:paraId="621D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E2E6D9C">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32C9AD43">
            <w:pPr>
              <w:pageBreakBefore w:val="0"/>
              <w:kinsoku/>
              <w:wordWrap/>
              <w:overflowPunct/>
              <w:topLinePunct w:val="0"/>
              <w:bidi w:val="0"/>
              <w:spacing w:line="360" w:lineRule="exact"/>
              <w:jc w:val="center"/>
              <w:rPr>
                <w:rFonts w:ascii="宋体" w:hAnsi="宋体" w:cs="宋体"/>
                <w:sz w:val="18"/>
                <w:szCs w:val="18"/>
              </w:rPr>
            </w:pPr>
          </w:p>
        </w:tc>
        <w:tc>
          <w:tcPr>
            <w:tcW w:w="1445" w:type="dxa"/>
            <w:vMerge w:val="restart"/>
            <w:vAlign w:val="center"/>
          </w:tcPr>
          <w:p w14:paraId="20CE734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地市或院级</w:t>
            </w:r>
          </w:p>
        </w:tc>
        <w:tc>
          <w:tcPr>
            <w:tcW w:w="1230" w:type="dxa"/>
            <w:vAlign w:val="center"/>
          </w:tcPr>
          <w:p w14:paraId="43F38D4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4DC4B9A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2921" w:type="dxa"/>
            <w:vMerge w:val="restart"/>
            <w:vAlign w:val="center"/>
          </w:tcPr>
          <w:p w14:paraId="6876D66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3150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496532B">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4F977528">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64ECF5B0">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264487C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254AA41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2921" w:type="dxa"/>
            <w:vMerge w:val="continue"/>
            <w:vAlign w:val="center"/>
          </w:tcPr>
          <w:p w14:paraId="779585F6">
            <w:pPr>
              <w:pageBreakBefore w:val="0"/>
              <w:kinsoku/>
              <w:wordWrap/>
              <w:overflowPunct/>
              <w:topLinePunct w:val="0"/>
              <w:bidi w:val="0"/>
              <w:spacing w:line="360" w:lineRule="exact"/>
              <w:jc w:val="center"/>
              <w:rPr>
                <w:rFonts w:ascii="宋体" w:hAnsi="宋体" w:cs="宋体"/>
                <w:sz w:val="18"/>
                <w:szCs w:val="18"/>
              </w:rPr>
            </w:pPr>
          </w:p>
        </w:tc>
      </w:tr>
      <w:tr w14:paraId="6684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1E7BF04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w:t>
            </w:r>
          </w:p>
        </w:tc>
        <w:tc>
          <w:tcPr>
            <w:tcW w:w="1860" w:type="dxa"/>
            <w:vMerge w:val="restart"/>
            <w:vAlign w:val="center"/>
          </w:tcPr>
          <w:p w14:paraId="0613031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公开发表作品</w:t>
            </w:r>
          </w:p>
        </w:tc>
        <w:tc>
          <w:tcPr>
            <w:tcW w:w="1445" w:type="dxa"/>
            <w:vAlign w:val="center"/>
          </w:tcPr>
          <w:p w14:paraId="117D337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期刊</w:t>
            </w:r>
          </w:p>
        </w:tc>
        <w:tc>
          <w:tcPr>
            <w:tcW w:w="1230" w:type="dxa"/>
            <w:vAlign w:val="center"/>
          </w:tcPr>
          <w:p w14:paraId="343FDC9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restart"/>
            <w:vAlign w:val="center"/>
          </w:tcPr>
          <w:p w14:paraId="4BF50CB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28AC7E7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专业基础/专业拓展课</w:t>
            </w:r>
          </w:p>
        </w:tc>
      </w:tr>
      <w:tr w14:paraId="669A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21DE46DB">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0637A937">
            <w:pPr>
              <w:pageBreakBefore w:val="0"/>
              <w:kinsoku/>
              <w:wordWrap/>
              <w:overflowPunct/>
              <w:topLinePunct w:val="0"/>
              <w:bidi w:val="0"/>
              <w:spacing w:line="360" w:lineRule="exact"/>
              <w:jc w:val="center"/>
              <w:rPr>
                <w:rFonts w:ascii="宋体" w:hAnsi="宋体" w:cs="宋体"/>
                <w:sz w:val="18"/>
                <w:szCs w:val="18"/>
              </w:rPr>
            </w:pPr>
          </w:p>
        </w:tc>
        <w:tc>
          <w:tcPr>
            <w:tcW w:w="1445" w:type="dxa"/>
            <w:vAlign w:val="center"/>
          </w:tcPr>
          <w:p w14:paraId="06565F4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学报</w:t>
            </w:r>
          </w:p>
        </w:tc>
        <w:tc>
          <w:tcPr>
            <w:tcW w:w="1230" w:type="dxa"/>
            <w:vAlign w:val="center"/>
          </w:tcPr>
          <w:p w14:paraId="5F4715D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3F935157">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6BA546EB">
            <w:pPr>
              <w:pageBreakBefore w:val="0"/>
              <w:kinsoku/>
              <w:wordWrap/>
              <w:overflowPunct/>
              <w:topLinePunct w:val="0"/>
              <w:bidi w:val="0"/>
              <w:spacing w:line="360" w:lineRule="exact"/>
              <w:jc w:val="center"/>
              <w:rPr>
                <w:rFonts w:ascii="宋体" w:hAnsi="宋体" w:cs="宋体"/>
                <w:sz w:val="18"/>
                <w:szCs w:val="18"/>
              </w:rPr>
            </w:pPr>
          </w:p>
        </w:tc>
      </w:tr>
      <w:tr w14:paraId="41E4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3224F7AD">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05537300">
            <w:pPr>
              <w:pageBreakBefore w:val="0"/>
              <w:kinsoku/>
              <w:wordWrap/>
              <w:overflowPunct/>
              <w:topLinePunct w:val="0"/>
              <w:bidi w:val="0"/>
              <w:spacing w:line="360" w:lineRule="exact"/>
              <w:jc w:val="center"/>
              <w:rPr>
                <w:rFonts w:ascii="宋体" w:hAnsi="宋体" w:cs="宋体"/>
                <w:sz w:val="18"/>
                <w:szCs w:val="18"/>
              </w:rPr>
            </w:pPr>
          </w:p>
        </w:tc>
        <w:tc>
          <w:tcPr>
            <w:tcW w:w="1445" w:type="dxa"/>
            <w:vAlign w:val="center"/>
          </w:tcPr>
          <w:p w14:paraId="27FFB4B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著作</w:t>
            </w:r>
          </w:p>
        </w:tc>
        <w:tc>
          <w:tcPr>
            <w:tcW w:w="1230" w:type="dxa"/>
            <w:vAlign w:val="center"/>
          </w:tcPr>
          <w:p w14:paraId="2093F97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7B10D381">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3515AF0E">
            <w:pPr>
              <w:pageBreakBefore w:val="0"/>
              <w:kinsoku/>
              <w:wordWrap/>
              <w:overflowPunct/>
              <w:topLinePunct w:val="0"/>
              <w:bidi w:val="0"/>
              <w:spacing w:line="360" w:lineRule="exact"/>
              <w:jc w:val="center"/>
              <w:rPr>
                <w:rFonts w:ascii="宋体" w:hAnsi="宋体" w:cs="宋体"/>
                <w:sz w:val="18"/>
                <w:szCs w:val="18"/>
              </w:rPr>
            </w:pPr>
          </w:p>
        </w:tc>
      </w:tr>
      <w:tr w14:paraId="5B0C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593F3F9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1860" w:type="dxa"/>
            <w:vMerge w:val="restart"/>
            <w:vAlign w:val="center"/>
          </w:tcPr>
          <w:p w14:paraId="1C37D3B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发明专利</w:t>
            </w:r>
          </w:p>
        </w:tc>
        <w:tc>
          <w:tcPr>
            <w:tcW w:w="2675" w:type="dxa"/>
            <w:gridSpan w:val="2"/>
            <w:vAlign w:val="center"/>
          </w:tcPr>
          <w:p w14:paraId="26CAAFF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发明授权</w:t>
            </w:r>
          </w:p>
        </w:tc>
        <w:tc>
          <w:tcPr>
            <w:tcW w:w="962" w:type="dxa"/>
            <w:vMerge w:val="restart"/>
            <w:vAlign w:val="center"/>
          </w:tcPr>
          <w:p w14:paraId="12A2CB6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2E545E7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专业基础/专业拓展课</w:t>
            </w:r>
          </w:p>
        </w:tc>
      </w:tr>
      <w:tr w14:paraId="408B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28E79ECA">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78295B97">
            <w:pPr>
              <w:pageBreakBefore w:val="0"/>
              <w:kinsoku/>
              <w:wordWrap/>
              <w:overflowPunct/>
              <w:topLinePunct w:val="0"/>
              <w:bidi w:val="0"/>
              <w:spacing w:line="360" w:lineRule="exact"/>
              <w:jc w:val="center"/>
              <w:rPr>
                <w:rFonts w:ascii="宋体" w:hAnsi="宋体" w:cs="宋体"/>
                <w:sz w:val="18"/>
                <w:szCs w:val="18"/>
              </w:rPr>
            </w:pPr>
          </w:p>
        </w:tc>
        <w:tc>
          <w:tcPr>
            <w:tcW w:w="2675" w:type="dxa"/>
            <w:gridSpan w:val="2"/>
            <w:vAlign w:val="center"/>
          </w:tcPr>
          <w:p w14:paraId="7BA8F45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实用新型</w:t>
            </w:r>
          </w:p>
        </w:tc>
        <w:tc>
          <w:tcPr>
            <w:tcW w:w="962" w:type="dxa"/>
            <w:vMerge w:val="continue"/>
            <w:vAlign w:val="center"/>
          </w:tcPr>
          <w:p w14:paraId="2790D00B">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1201C04D">
            <w:pPr>
              <w:pageBreakBefore w:val="0"/>
              <w:kinsoku/>
              <w:wordWrap/>
              <w:overflowPunct/>
              <w:topLinePunct w:val="0"/>
              <w:bidi w:val="0"/>
              <w:spacing w:line="360" w:lineRule="exact"/>
              <w:jc w:val="center"/>
              <w:rPr>
                <w:rFonts w:ascii="宋体" w:hAnsi="宋体" w:cs="宋体"/>
                <w:sz w:val="18"/>
                <w:szCs w:val="18"/>
              </w:rPr>
            </w:pPr>
          </w:p>
        </w:tc>
      </w:tr>
    </w:tbl>
    <w:p w14:paraId="46503CA2">
      <w:pPr>
        <w:pStyle w:val="2"/>
        <w:pageBreakBefore w:val="0"/>
        <w:kinsoku/>
        <w:wordWrap/>
        <w:overflowPunct/>
        <w:topLinePunct w:val="0"/>
        <w:bidi w:val="0"/>
        <w:spacing w:after="0" w:line="360" w:lineRule="exact"/>
      </w:pPr>
    </w:p>
    <w:p w14:paraId="407B2C6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eastAsia="宋体"/>
          <w:b/>
          <w:szCs w:val="21"/>
        </w:rPr>
      </w:pPr>
      <w:r>
        <w:rPr>
          <w:rFonts w:hint="eastAsia" w:ascii="宋体" w:hAnsi="宋体" w:eastAsia="宋体"/>
          <w:b/>
          <w:szCs w:val="21"/>
        </w:rPr>
        <w:t>（二）毕业</w:t>
      </w:r>
      <w:r>
        <w:rPr>
          <w:rFonts w:ascii="宋体" w:hAnsi="宋体" w:eastAsia="宋体"/>
          <w:b/>
          <w:szCs w:val="21"/>
        </w:rPr>
        <w:t>证书要求</w:t>
      </w:r>
    </w:p>
    <w:p w14:paraId="44C6DD0C">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79FA98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◆幼儿园教师资格证书</w:t>
      </w:r>
    </w:p>
    <w:p w14:paraId="466C12F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eastAsia="宋体"/>
          <w:lang w:val="en-US" w:eastAsia="zh-CN"/>
        </w:rPr>
      </w:pPr>
      <w:r>
        <w:rPr>
          <w:rFonts w:hint="eastAsia"/>
        </w:rPr>
        <w:t>◆普通话</w:t>
      </w:r>
      <w:r>
        <w:rPr>
          <w:rFonts w:hint="eastAsia"/>
          <w:lang w:val="en-US" w:eastAsia="zh-CN"/>
        </w:rPr>
        <w:t>技能</w:t>
      </w:r>
      <w:r>
        <w:rPr>
          <w:rFonts w:hint="eastAsia"/>
        </w:rPr>
        <w:t>等级证书</w:t>
      </w:r>
    </w:p>
    <w:p w14:paraId="5CD56400">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◆保育师</w:t>
      </w:r>
      <w:r>
        <w:rPr>
          <w:rFonts w:hint="eastAsia"/>
          <w:lang w:val="en-US" w:eastAsia="zh-CN"/>
        </w:rPr>
        <w:t>技能</w:t>
      </w:r>
      <w:r>
        <w:rPr>
          <w:rFonts w:hint="eastAsia"/>
        </w:rPr>
        <w:t>等级证书</w:t>
      </w:r>
    </w:p>
    <w:p w14:paraId="2105E0D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◆育婴师</w:t>
      </w:r>
      <w:r>
        <w:rPr>
          <w:rFonts w:hint="eastAsia"/>
          <w:lang w:val="en-US" w:eastAsia="zh-CN"/>
        </w:rPr>
        <w:t>技能</w:t>
      </w:r>
      <w:r>
        <w:rPr>
          <w:rFonts w:hint="eastAsia"/>
        </w:rPr>
        <w:t>等级证书</w:t>
      </w:r>
    </w:p>
    <w:p w14:paraId="769BE30A">
      <w:pPr>
        <w:pageBreakBefore w:val="0"/>
        <w:kinsoku/>
        <w:wordWrap/>
        <w:overflowPunct/>
        <w:topLinePunct w:val="0"/>
        <w:bidi w:val="0"/>
        <w:adjustRightInd w:val="0"/>
        <w:snapToGrid w:val="0"/>
        <w:spacing w:line="360" w:lineRule="exact"/>
        <w:ind w:firstLine="420" w:firstLineChars="200"/>
        <w:rPr>
          <w:rFonts w:hint="eastAsia"/>
        </w:rPr>
      </w:pPr>
      <w:r>
        <w:rPr>
          <w:rFonts w:hint="eastAsia"/>
        </w:rPr>
        <w:t>◆其他与</w:t>
      </w:r>
      <w:r>
        <w:rPr>
          <w:rFonts w:hint="eastAsia"/>
          <w:lang w:val="en-US" w:eastAsia="zh-CN"/>
        </w:rPr>
        <w:t>学前教育</w:t>
      </w:r>
      <w:r>
        <w:rPr>
          <w:rFonts w:hint="eastAsia"/>
        </w:rPr>
        <w:t>相关的技能等级证书</w:t>
      </w:r>
    </w:p>
    <w:p w14:paraId="0524F200">
      <w:pPr>
        <w:pStyle w:val="2"/>
      </w:pPr>
    </w:p>
    <w:p w14:paraId="5AF453FB">
      <w:pPr>
        <w:pStyle w:val="3"/>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十、附录</w:t>
      </w:r>
    </w:p>
    <w:p w14:paraId="62A6FC0B">
      <w:pPr>
        <w:pageBreakBefore w:val="0"/>
        <w:kinsoku/>
        <w:wordWrap/>
        <w:overflowPunct/>
        <w:topLinePunct w:val="0"/>
        <w:bidi w:val="0"/>
        <w:adjustRightInd w:val="0"/>
        <w:snapToGrid w:val="0"/>
        <w:spacing w:line="360" w:lineRule="exact"/>
        <w:ind w:firstLine="420" w:firstLineChars="200"/>
        <w:rPr>
          <w:rFonts w:hint="eastAsia"/>
        </w:rPr>
      </w:pPr>
      <w:r>
        <w:rPr>
          <w:rFonts w:hint="eastAsia"/>
          <w:lang w:val="en-US" w:eastAsia="zh-CN"/>
        </w:rPr>
        <w:t>1.</w:t>
      </w:r>
      <w:r>
        <w:rPr>
          <w:rFonts w:hint="eastAsia"/>
        </w:rPr>
        <w:t>人才培养方案专业建设委员会审核意见表</w:t>
      </w:r>
      <w:bookmarkEnd w:id="63"/>
      <w:bookmarkEnd w:id="64"/>
      <w:bookmarkEnd w:id="65"/>
    </w:p>
    <w:p w14:paraId="26DA6096">
      <w:pPr>
        <w:pageBreakBefore w:val="0"/>
        <w:kinsoku/>
        <w:wordWrap/>
        <w:overflowPunct/>
        <w:topLinePunct w:val="0"/>
        <w:bidi w:val="0"/>
        <w:adjustRightInd w:val="0"/>
        <w:snapToGrid w:val="0"/>
        <w:spacing w:line="360" w:lineRule="exact"/>
        <w:ind w:firstLine="420" w:firstLineChars="200"/>
        <w:rPr>
          <w:rFonts w:hint="eastAsia"/>
          <w:lang w:val="en-US" w:eastAsia="zh-CN"/>
        </w:rPr>
      </w:pPr>
      <w:r>
        <w:rPr>
          <w:rFonts w:hint="eastAsia"/>
          <w:lang w:val="en-US" w:eastAsia="zh-CN"/>
        </w:rPr>
        <w:t>2.人才培养方案校级审定意见表</w:t>
      </w:r>
    </w:p>
    <w:p w14:paraId="67560237">
      <w:pPr>
        <w:pStyle w:val="2"/>
        <w:rPr>
          <w:rFonts w:hint="default"/>
          <w:lang w:val="en-US" w:eastAsia="zh-CN"/>
        </w:rPr>
      </w:pPr>
    </w:p>
    <w:p w14:paraId="0C6F359D">
      <w:pPr>
        <w:pageBreakBefore w:val="0"/>
        <w:kinsoku/>
        <w:wordWrap/>
        <w:overflowPunct/>
        <w:topLinePunct w:val="0"/>
        <w:bidi w:val="0"/>
        <w:adjustRightInd w:val="0"/>
        <w:snapToGrid w:val="0"/>
        <w:spacing w:line="360" w:lineRule="exact"/>
        <w:ind w:firstLine="420" w:firstLineChars="200"/>
        <w:rPr>
          <w:rFonts w:hint="eastAsia"/>
          <w:lang w:eastAsia="zh-CN"/>
        </w:rPr>
      </w:pPr>
      <w:r>
        <w:rPr>
          <w:rFonts w:hint="eastAsia"/>
        </w:rPr>
        <w:t>编制团队成员：轩萌萌、刘杰、张程皓、张梦雨、靳艺丹、丁嘉宁、黄向丽</w:t>
      </w:r>
      <w:r>
        <w:rPr>
          <w:rFonts w:hint="eastAsia"/>
          <w:lang w:eastAsia="zh-CN"/>
        </w:rPr>
        <w:t>、</w:t>
      </w:r>
      <w:r>
        <w:rPr>
          <w:rFonts w:hint="eastAsia"/>
          <w:lang w:val="en-US" w:eastAsia="zh-CN"/>
        </w:rPr>
        <w:t>曾煦原</w:t>
      </w:r>
    </w:p>
    <w:p w14:paraId="238683F8">
      <w:pPr>
        <w:pageBreakBefore w:val="0"/>
        <w:kinsoku/>
        <w:wordWrap/>
        <w:overflowPunct/>
        <w:topLinePunct w:val="0"/>
        <w:bidi w:val="0"/>
        <w:adjustRightInd w:val="0"/>
        <w:snapToGrid w:val="0"/>
        <w:spacing w:line="360" w:lineRule="exact"/>
        <w:ind w:firstLine="420" w:firstLineChars="200"/>
        <w:rPr>
          <w:rFonts w:hint="eastAsia"/>
        </w:rPr>
      </w:pPr>
      <w:r>
        <w:rPr>
          <w:rFonts w:hint="eastAsia"/>
        </w:rPr>
        <w:t>行业企业名称：许昌市文化街幼儿园、许昌市</w:t>
      </w:r>
      <w:r>
        <w:rPr>
          <w:rFonts w:hint="eastAsia"/>
          <w:lang w:val="en-US" w:eastAsia="zh-CN"/>
        </w:rPr>
        <w:t>人民</w:t>
      </w:r>
      <w:r>
        <w:rPr>
          <w:rFonts w:hint="eastAsia"/>
        </w:rPr>
        <w:t>政府机关幼儿园、许昌市</w:t>
      </w:r>
      <w:r>
        <w:rPr>
          <w:rFonts w:hint="eastAsia"/>
          <w:lang w:val="en-US" w:eastAsia="zh-CN"/>
        </w:rPr>
        <w:t>魏都区爱汀堡</w:t>
      </w:r>
      <w:r>
        <w:rPr>
          <w:rFonts w:hint="eastAsia"/>
        </w:rPr>
        <w:t>幼儿园</w:t>
      </w:r>
    </w:p>
    <w:p w14:paraId="50B5BD2A">
      <w:pPr>
        <w:pageBreakBefore w:val="0"/>
        <w:kinsoku/>
        <w:wordWrap/>
        <w:overflowPunct/>
        <w:topLinePunct w:val="0"/>
        <w:bidi w:val="0"/>
        <w:adjustRightInd w:val="0"/>
        <w:snapToGrid w:val="0"/>
        <w:spacing w:line="360" w:lineRule="exact"/>
        <w:ind w:firstLine="420" w:firstLineChars="200"/>
        <w:rPr>
          <w:rFonts w:hint="eastAsia"/>
        </w:rPr>
      </w:pPr>
      <w:r>
        <w:rPr>
          <w:rFonts w:hint="eastAsia"/>
        </w:rPr>
        <w:t>行业企业人员：</w:t>
      </w:r>
      <w:r>
        <w:rPr>
          <w:rFonts w:hint="eastAsia"/>
          <w:lang w:val="en-US" w:eastAsia="zh-CN"/>
        </w:rPr>
        <w:t>刘娜</w:t>
      </w:r>
      <w:r>
        <w:rPr>
          <w:rFonts w:hint="eastAsia"/>
        </w:rPr>
        <w:t xml:space="preserve"> </w:t>
      </w:r>
      <w:r>
        <w:rPr>
          <w:rFonts w:hint="eastAsia"/>
          <w:lang w:val="en-US" w:eastAsia="zh-CN"/>
        </w:rPr>
        <w:t>朱文娟</w:t>
      </w:r>
      <w:r>
        <w:rPr>
          <w:rFonts w:hint="eastAsia"/>
        </w:rPr>
        <w:t xml:space="preserve"> </w:t>
      </w:r>
      <w:r>
        <w:rPr>
          <w:rFonts w:hint="eastAsia"/>
          <w:lang w:val="en-US" w:eastAsia="zh-CN"/>
        </w:rPr>
        <w:t>刘洋洋</w:t>
      </w:r>
    </w:p>
    <w:p w14:paraId="60013812">
      <w:pPr>
        <w:pageBreakBefore w:val="0"/>
        <w:kinsoku/>
        <w:wordWrap/>
        <w:overflowPunct/>
        <w:topLinePunct w:val="0"/>
        <w:bidi w:val="0"/>
        <w:adjustRightInd w:val="0"/>
        <w:snapToGrid w:val="0"/>
        <w:spacing w:line="360" w:lineRule="exact"/>
        <w:ind w:firstLine="420" w:firstLineChars="200"/>
        <w:rPr>
          <w:rFonts w:hint="eastAsia"/>
          <w:lang w:val="en-US" w:eastAsia="zh-CN"/>
        </w:rPr>
      </w:pPr>
      <w:r>
        <w:rPr>
          <w:rFonts w:hint="eastAsia"/>
        </w:rPr>
        <w:t>院部领导（审核）：</w:t>
      </w:r>
      <w:r>
        <w:rPr>
          <w:rFonts w:hint="eastAsia"/>
          <w:lang w:val="en-US" w:eastAsia="zh-CN"/>
        </w:rPr>
        <w:t>赵新军</w:t>
      </w:r>
    </w:p>
    <w:p w14:paraId="1EAC568D">
      <w:pPr>
        <w:pageBreakBefore w:val="0"/>
        <w:kinsoku/>
        <w:wordWrap/>
        <w:overflowPunct/>
        <w:topLinePunct w:val="0"/>
        <w:bidi w:val="0"/>
        <w:adjustRightInd w:val="0"/>
        <w:snapToGrid w:val="0"/>
        <w:spacing w:line="360" w:lineRule="exact"/>
        <w:ind w:firstLine="420" w:firstLineChars="200"/>
        <w:rPr>
          <w:rFonts w:hint="eastAsia"/>
          <w:lang w:val="en-US" w:eastAsia="zh-CN"/>
        </w:rPr>
      </w:pPr>
      <w:r>
        <w:rPr>
          <w:rFonts w:hint="eastAsia"/>
        </w:rPr>
        <w:t>教务处领导（审定）：</w:t>
      </w:r>
      <w:r>
        <w:rPr>
          <w:rFonts w:hint="eastAsia"/>
          <w:lang w:val="en-US" w:eastAsia="zh-CN"/>
        </w:rPr>
        <w:t>郭磊</w:t>
      </w:r>
    </w:p>
    <w:p w14:paraId="1CE7C9E4">
      <w:pPr>
        <w:pageBreakBefore w:val="0"/>
        <w:kinsoku/>
        <w:wordWrap/>
        <w:overflowPunct/>
        <w:topLinePunct w:val="0"/>
        <w:bidi w:val="0"/>
        <w:adjustRightInd w:val="0"/>
        <w:snapToGrid w:val="0"/>
        <w:spacing w:line="360" w:lineRule="exact"/>
        <w:ind w:firstLine="420" w:firstLineChars="200"/>
        <w:rPr>
          <w:rFonts w:hint="eastAsia"/>
          <w:lang w:val="en-US" w:eastAsia="zh-CN"/>
        </w:rPr>
      </w:pPr>
      <w:r>
        <w:rPr>
          <w:rFonts w:hint="eastAsia"/>
        </w:rPr>
        <w:t>主管院长（批准执行）：</w:t>
      </w:r>
      <w:bookmarkStart w:id="67" w:name="_Toc7718"/>
      <w:bookmarkStart w:id="68" w:name="_Toc1500"/>
      <w:bookmarkStart w:id="69" w:name="_Toc29885"/>
      <w:r>
        <w:rPr>
          <w:rFonts w:hint="eastAsia"/>
          <w:lang w:val="en-US" w:eastAsia="zh-CN"/>
        </w:rPr>
        <w:t>冯朝印</w:t>
      </w:r>
    </w:p>
    <w:p w14:paraId="362262BB">
      <w:pPr>
        <w:rPr>
          <w:rFonts w:hint="default" w:ascii="黑体" w:hAnsi="黑体" w:eastAsia="黑体" w:cs="黑体"/>
          <w:color w:val="000000"/>
          <w:spacing w:val="-10"/>
          <w:sz w:val="32"/>
          <w:szCs w:val="32"/>
          <w:lang w:val="en-US" w:eastAsia="zh-CN"/>
        </w:rPr>
      </w:pPr>
      <w:r>
        <w:rPr>
          <w:rFonts w:ascii="黑体" w:hAnsi="黑体" w:eastAsia="黑体" w:cs="黑体"/>
          <w:color w:val="000000"/>
          <w:spacing w:val="-10"/>
          <w:sz w:val="32"/>
          <w:szCs w:val="32"/>
        </w:rPr>
        <w:br w:type="page"/>
      </w:r>
      <w:r>
        <w:rPr>
          <w:rFonts w:hint="eastAsia" w:ascii="宋体" w:hAnsi="宋体" w:eastAsia="宋体" w:cs="宋体"/>
          <w:color w:val="auto"/>
          <w:sz w:val="21"/>
          <w:szCs w:val="21"/>
          <w:lang w:val="en-US" w:eastAsia="zh-CN"/>
        </w:rPr>
        <w:t>附录一</w:t>
      </w:r>
      <w:r>
        <w:rPr>
          <w:rFonts w:hint="eastAsia" w:ascii="宋体" w:hAnsi="宋体" w:cs="宋体"/>
          <w:color w:val="auto"/>
          <w:sz w:val="21"/>
          <w:szCs w:val="21"/>
          <w:lang w:val="en-US" w:eastAsia="zh-CN"/>
        </w:rPr>
        <w:t>：</w:t>
      </w:r>
    </w:p>
    <w:p w14:paraId="4C53DCA3">
      <w:pPr>
        <w:pStyle w:val="2"/>
        <w:rPr>
          <w:rFonts w:hint="eastAsia" w:eastAsia="宋体"/>
          <w:lang w:eastAsia="zh-CN"/>
        </w:rPr>
      </w:pPr>
      <w:r>
        <w:rPr>
          <w:rFonts w:hint="eastAsia" w:eastAsia="宋体"/>
          <w:lang w:eastAsia="zh-CN"/>
        </w:rPr>
        <w:drawing>
          <wp:inline distT="0" distB="0" distL="114300" distR="114300">
            <wp:extent cx="5664200" cy="7693660"/>
            <wp:effectExtent l="0" t="0" r="12700" b="2540"/>
            <wp:docPr id="1" name="图片 1" descr="3d3aa7c10cbe718e0fa25b55509f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d3aa7c10cbe718e0fa25b55509ff14"/>
                    <pic:cNvPicPr>
                      <a:picLocks noChangeAspect="1"/>
                    </pic:cNvPicPr>
                  </pic:nvPicPr>
                  <pic:blipFill>
                    <a:blip r:embed="rId6"/>
                    <a:srcRect t="900" r="1654"/>
                    <a:stretch>
                      <a:fillRect/>
                    </a:stretch>
                  </pic:blipFill>
                  <pic:spPr>
                    <a:xfrm>
                      <a:off x="0" y="0"/>
                      <a:ext cx="5664200" cy="7693660"/>
                    </a:xfrm>
                    <a:prstGeom prst="rect">
                      <a:avLst/>
                    </a:prstGeom>
                    <a:noFill/>
                    <a:ln>
                      <a:noFill/>
                    </a:ln>
                  </pic:spPr>
                </pic:pic>
              </a:graphicData>
            </a:graphic>
          </wp:inline>
        </w:drawing>
      </w:r>
    </w:p>
    <w:bookmarkEnd w:id="67"/>
    <w:bookmarkEnd w:id="68"/>
    <w:bookmarkEnd w:id="69"/>
    <w:p w14:paraId="70811CA5">
      <w:pPr>
        <w:spacing w:line="360" w:lineRule="auto"/>
        <w:rPr>
          <w:rFonts w:hint="eastAsia" w:ascii="黑体" w:eastAsia="黑体" w:cs="黑体"/>
          <w:b/>
          <w:bCs/>
          <w:color w:val="000000"/>
          <w:sz w:val="32"/>
          <w:szCs w:val="40"/>
          <w:lang w:eastAsia="zh-CN"/>
        </w:rPr>
      </w:pPr>
    </w:p>
    <w:p w14:paraId="721F5A2E">
      <w:pPr>
        <w:pStyle w:val="2"/>
        <w:rPr>
          <w:rFonts w:hint="eastAsia" w:ascii="黑体" w:eastAsia="黑体" w:cs="黑体"/>
          <w:b/>
          <w:bCs/>
          <w:color w:val="000000"/>
          <w:sz w:val="32"/>
          <w:szCs w:val="40"/>
          <w:lang w:eastAsia="zh-CN"/>
        </w:rPr>
      </w:pPr>
    </w:p>
    <w:p w14:paraId="30674615">
      <w:pPr>
        <w:pStyle w:val="2"/>
        <w:rPr>
          <w:rFonts w:hint="eastAsia" w:ascii="黑体" w:eastAsia="黑体" w:cs="黑体"/>
          <w:b/>
          <w:bCs/>
          <w:color w:val="000000"/>
          <w:sz w:val="32"/>
          <w:szCs w:val="40"/>
          <w:lang w:eastAsia="zh-CN"/>
        </w:rPr>
      </w:pPr>
    </w:p>
    <w:p w14:paraId="1294EC99">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附录二</w:t>
      </w:r>
      <w:r>
        <w:rPr>
          <w:rFonts w:hint="eastAsia" w:ascii="宋体" w:hAnsi="宋体" w:cs="宋体"/>
          <w:color w:val="auto"/>
          <w:sz w:val="21"/>
          <w:szCs w:val="21"/>
          <w:lang w:val="en-US" w:eastAsia="zh-CN"/>
        </w:rPr>
        <w:t>：</w:t>
      </w:r>
    </w:p>
    <w:p w14:paraId="1762104F">
      <w:pPr>
        <w:pStyle w:val="2"/>
        <w:rPr>
          <w:rFonts w:hint="eastAsia" w:ascii="黑体" w:eastAsia="黑体" w:cs="黑体"/>
          <w:b/>
          <w:bCs/>
          <w:color w:val="000000"/>
          <w:sz w:val="32"/>
          <w:szCs w:val="40"/>
          <w:lang w:eastAsia="zh-CN"/>
        </w:rPr>
      </w:pPr>
      <w:r>
        <w:rPr>
          <w:rFonts w:hint="eastAsia" w:ascii="黑体" w:eastAsia="黑体" w:cs="黑体"/>
          <w:b/>
          <w:bCs/>
          <w:color w:val="000000"/>
          <w:sz w:val="32"/>
          <w:szCs w:val="40"/>
          <w:lang w:eastAsia="zh-CN"/>
        </w:rPr>
        <w:drawing>
          <wp:inline distT="0" distB="0" distL="114300" distR="114300">
            <wp:extent cx="5747385" cy="8141335"/>
            <wp:effectExtent l="0" t="0" r="5715" b="12065"/>
            <wp:docPr id="2" name="图片 2" descr="98b3b5fbd5190b1472ff2e4372b0d1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8b3b5fbd5190b1472ff2e4372b0d13a"/>
                    <pic:cNvPicPr>
                      <a:picLocks noChangeAspect="1"/>
                    </pic:cNvPicPr>
                  </pic:nvPicPr>
                  <pic:blipFill>
                    <a:blip r:embed="rId7"/>
                    <a:stretch>
                      <a:fillRect/>
                    </a:stretch>
                  </pic:blipFill>
                  <pic:spPr>
                    <a:xfrm>
                      <a:off x="0" y="0"/>
                      <a:ext cx="5747385" cy="8141335"/>
                    </a:xfrm>
                    <a:prstGeom prst="rect">
                      <a:avLst/>
                    </a:prstGeom>
                    <a:noFill/>
                    <a:ln>
                      <a:noFill/>
                    </a:ln>
                  </pic:spPr>
                </pic:pic>
              </a:graphicData>
            </a:graphic>
          </wp:inline>
        </w:drawing>
      </w:r>
    </w:p>
    <w:p w14:paraId="53ED3242">
      <w:pPr>
        <w:pStyle w:val="2"/>
        <w:rPr>
          <w:rFonts w:hint="eastAsia"/>
          <w:lang w:eastAsia="zh-CN"/>
        </w:rPr>
      </w:pPr>
    </w:p>
    <w:sectPr>
      <w:footerReference r:id="rId4"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6089D5-E3D3-442E-9C0A-BE16C758400D}"/>
  </w:font>
  <w:font w:name="黑体">
    <w:panose1 w:val="02010609060101010101"/>
    <w:charset w:val="86"/>
    <w:family w:val="auto"/>
    <w:pitch w:val="default"/>
    <w:sig w:usb0="800002BF" w:usb1="38CF7CFA" w:usb2="00000016" w:usb3="00000000" w:csb0="00040001" w:csb1="00000000"/>
    <w:embedRegular r:id="rId2" w:fontKey="{533CCCD0-5355-44FC-8356-A8015F0A20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6AE8DF79-F59D-4F91-A6DF-586108B5F3F2}"/>
  </w:font>
  <w:font w:name="Segoe UI">
    <w:panose1 w:val="020B0502040204020203"/>
    <w:charset w:val="00"/>
    <w:family w:val="swiss"/>
    <w:pitch w:val="default"/>
    <w:sig w:usb0="E4002EFF" w:usb1="C000E47F" w:usb2="00000009" w:usb3="00000000" w:csb0="200001FF" w:csb1="00000000"/>
    <w:embedRegular r:id="rId4" w:fontKey="{E0828577-B9C7-4CED-8BFF-A80BFDC0FEAD}"/>
  </w:font>
  <w:font w:name="楷体_GB2312">
    <w:panose1 w:val="02010609030101010101"/>
    <w:charset w:val="86"/>
    <w:family w:val="modern"/>
    <w:pitch w:val="default"/>
    <w:sig w:usb0="00000001" w:usb1="080E0000" w:usb2="00000000" w:usb3="00000000" w:csb0="00040000" w:csb1="00000000"/>
    <w:embedRegular r:id="rId5" w:fontKey="{E7914C7A-072F-4B9E-BB18-258FB3E08A37}"/>
  </w:font>
  <w:font w:name="微软雅黑">
    <w:panose1 w:val="020B0503020204020204"/>
    <w:charset w:val="86"/>
    <w:family w:val="swiss"/>
    <w:pitch w:val="default"/>
    <w:sig w:usb0="80000287" w:usb1="2ACF3C50" w:usb2="00000016" w:usb3="00000000" w:csb0="0004001F" w:csb1="00000000"/>
    <w:embedRegular r:id="rId6" w:fontKey="{371A816F-4F2D-4447-AFD6-37FC2EC89F53}"/>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B23FA">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03CFE5">
                          <w:pPr>
                            <w:pStyle w:val="9"/>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s5ksYBAACb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a86sMPTgl+/fLj9+XX5+Zcsk&#10;T++xoqoHT3VxuHMDLc0cRwom1kMbTPoSH0Z5Evd8FReGyGS6tF6t1yWlJOVmh/CLx+s+YHwLzrBk&#10;1DzQ62VRxek9xrF0LkndrLtXWucX1PavAGGOEcgrMN1OTMaJkxWH/TDR27vmTOx6WoOaW9p6zvQ7&#10;SyqnjZmNMBv7yUgd0d8eI42Rp0uoIxSxSg69WeY37Vdaij/9XPX4T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OzmSxgEAAJsDAAAOAAAAAAAAAAEAIAAAAB4BAABkcnMvZTJvRG9jLnht&#10;bFBLBQYAAAAABgAGAFkBAABWBQAAAAA=&#10;">
              <v:fill on="f" focussize="0,0"/>
              <v:stroke on="f"/>
              <v:imagedata o:title=""/>
              <o:lock v:ext="edit" aspectratio="f"/>
              <v:textbox inset="0mm,0mm,0mm,0mm" style="mso-fit-shape-to-text:t;">
                <w:txbxContent>
                  <w:p w14:paraId="2803CFE5">
                    <w:pPr>
                      <w:pStyle w:val="9"/>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38D78A8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B9A69">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A50B3"/>
    <w:multiLevelType w:val="singleLevel"/>
    <w:tmpl w:val="9B4A50B3"/>
    <w:lvl w:ilvl="0" w:tentative="0">
      <w:start w:val="1"/>
      <w:numFmt w:val="decimal"/>
      <w:suff w:val="space"/>
      <w:lvlText w:val="%1."/>
      <w:lvlJc w:val="left"/>
    </w:lvl>
  </w:abstractNum>
  <w:abstractNum w:abstractNumId="1">
    <w:nsid w:val="AAC5FAB3"/>
    <w:multiLevelType w:val="singleLevel"/>
    <w:tmpl w:val="AAC5FAB3"/>
    <w:lvl w:ilvl="0" w:tentative="0">
      <w:start w:val="2"/>
      <w:numFmt w:val="chineseCounting"/>
      <w:suff w:val="nothing"/>
      <w:lvlText w:val="（%1）"/>
      <w:lvlJc w:val="left"/>
      <w:rPr>
        <w:rFonts w:hint="eastAsia"/>
      </w:rPr>
    </w:lvl>
  </w:abstractNum>
  <w:abstractNum w:abstractNumId="2">
    <w:nsid w:val="AFB83E39"/>
    <w:multiLevelType w:val="singleLevel"/>
    <w:tmpl w:val="AFB83E39"/>
    <w:lvl w:ilvl="0" w:tentative="0">
      <w:start w:val="1"/>
      <w:numFmt w:val="decimal"/>
      <w:lvlText w:val="%1."/>
      <w:lvlJc w:val="left"/>
      <w:pPr>
        <w:tabs>
          <w:tab w:val="left" w:pos="312"/>
        </w:tabs>
      </w:pPr>
    </w:lvl>
  </w:abstractNum>
  <w:abstractNum w:abstractNumId="3">
    <w:nsid w:val="F4ECA58D"/>
    <w:multiLevelType w:val="singleLevel"/>
    <w:tmpl w:val="F4ECA58D"/>
    <w:lvl w:ilvl="0" w:tentative="0">
      <w:start w:val="1"/>
      <w:numFmt w:val="decimal"/>
      <w:lvlText w:val="%1."/>
      <w:lvlJc w:val="left"/>
      <w:pPr>
        <w:tabs>
          <w:tab w:val="left" w:pos="312"/>
        </w:tabs>
      </w:pPr>
    </w:lvl>
  </w:abstractNum>
  <w:abstractNum w:abstractNumId="4">
    <w:nsid w:val="00000001"/>
    <w:multiLevelType w:val="singleLevel"/>
    <w:tmpl w:val="00000001"/>
    <w:lvl w:ilvl="0" w:tentative="0">
      <w:start w:val="1"/>
      <w:numFmt w:val="decimal"/>
      <w:suff w:val="nothing"/>
      <w:lvlText w:val="（%1）"/>
      <w:lvlJc w:val="left"/>
    </w:lvl>
  </w:abstractNum>
  <w:abstractNum w:abstractNumId="5">
    <w:nsid w:val="32BDE1B2"/>
    <w:multiLevelType w:val="singleLevel"/>
    <w:tmpl w:val="32BDE1B2"/>
    <w:lvl w:ilvl="0" w:tentative="0">
      <w:start w:val="1"/>
      <w:numFmt w:val="decimal"/>
      <w:lvlText w:val="%1."/>
      <w:lvlJc w:val="left"/>
      <w:pPr>
        <w:tabs>
          <w:tab w:val="left" w:pos="312"/>
        </w:tabs>
      </w:pPr>
    </w:lvl>
  </w:abstractNum>
  <w:abstractNum w:abstractNumId="6">
    <w:nsid w:val="3B63CF96"/>
    <w:multiLevelType w:val="singleLevel"/>
    <w:tmpl w:val="3B63CF96"/>
    <w:lvl w:ilvl="0" w:tentative="0">
      <w:start w:val="1"/>
      <w:numFmt w:val="decimal"/>
      <w:suff w:val="space"/>
      <w:lvlText w:val="%1."/>
      <w:lvlJc w:val="left"/>
    </w:lvl>
  </w:abstractNum>
  <w:abstractNum w:abstractNumId="7">
    <w:nsid w:val="45728DD0"/>
    <w:multiLevelType w:val="singleLevel"/>
    <w:tmpl w:val="45728DD0"/>
    <w:lvl w:ilvl="0" w:tentative="0">
      <w:start w:val="1"/>
      <w:numFmt w:val="decimal"/>
      <w:lvlText w:val="%1."/>
      <w:lvlJc w:val="left"/>
      <w:pPr>
        <w:tabs>
          <w:tab w:val="left" w:pos="312"/>
        </w:tabs>
      </w:pPr>
    </w:lvl>
  </w:abstractNum>
  <w:num w:numId="1">
    <w:abstractNumId w:val="4"/>
  </w:num>
  <w:num w:numId="2">
    <w:abstractNumId w:val="5"/>
  </w:num>
  <w:num w:numId="3">
    <w:abstractNumId w:val="6"/>
  </w:num>
  <w:num w:numId="4">
    <w:abstractNumId w:val="7"/>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yMzYxYjZjOTRmYjk0OTc3NzQ3NjNkNDYyNmQifQ=="/>
    <w:docVar w:name="KSO_WPS_MARK_KEY" w:val="566bfaff-34dc-4541-bd06-435179fdddc7"/>
  </w:docVars>
  <w:rsids>
    <w:rsidRoot w:val="6F9C53FD"/>
    <w:rsid w:val="000B44D3"/>
    <w:rsid w:val="0016469E"/>
    <w:rsid w:val="0019223B"/>
    <w:rsid w:val="001B1167"/>
    <w:rsid w:val="002945F0"/>
    <w:rsid w:val="002B4B8B"/>
    <w:rsid w:val="004915D7"/>
    <w:rsid w:val="00562DC2"/>
    <w:rsid w:val="0072308F"/>
    <w:rsid w:val="00930D6E"/>
    <w:rsid w:val="009F3833"/>
    <w:rsid w:val="00A4758C"/>
    <w:rsid w:val="00B41B4C"/>
    <w:rsid w:val="00D43945"/>
    <w:rsid w:val="00E06C46"/>
    <w:rsid w:val="00E17305"/>
    <w:rsid w:val="018A2D98"/>
    <w:rsid w:val="01DA574F"/>
    <w:rsid w:val="03914744"/>
    <w:rsid w:val="03F84D6E"/>
    <w:rsid w:val="049532C5"/>
    <w:rsid w:val="058D598A"/>
    <w:rsid w:val="085B200E"/>
    <w:rsid w:val="08CD6CBE"/>
    <w:rsid w:val="09904F14"/>
    <w:rsid w:val="09DC25D1"/>
    <w:rsid w:val="0ACB263A"/>
    <w:rsid w:val="0ACC3DF3"/>
    <w:rsid w:val="0B143D38"/>
    <w:rsid w:val="0C7065C2"/>
    <w:rsid w:val="0D3478BC"/>
    <w:rsid w:val="0D9F3CDC"/>
    <w:rsid w:val="0F6C03BE"/>
    <w:rsid w:val="0FA63D9A"/>
    <w:rsid w:val="102A47F5"/>
    <w:rsid w:val="114B387C"/>
    <w:rsid w:val="142E63A6"/>
    <w:rsid w:val="143B3428"/>
    <w:rsid w:val="148F28CB"/>
    <w:rsid w:val="14BA1BCC"/>
    <w:rsid w:val="14EB2C15"/>
    <w:rsid w:val="15576B7A"/>
    <w:rsid w:val="1586381E"/>
    <w:rsid w:val="159863B1"/>
    <w:rsid w:val="18386775"/>
    <w:rsid w:val="18956BD8"/>
    <w:rsid w:val="18E82455"/>
    <w:rsid w:val="19B37C4A"/>
    <w:rsid w:val="1A512FD2"/>
    <w:rsid w:val="1A564145"/>
    <w:rsid w:val="1A710F7F"/>
    <w:rsid w:val="1AEB2BD4"/>
    <w:rsid w:val="1B122762"/>
    <w:rsid w:val="1B4F59FE"/>
    <w:rsid w:val="1BA91E00"/>
    <w:rsid w:val="1C3F7586"/>
    <w:rsid w:val="1C8E1396"/>
    <w:rsid w:val="1CD001DE"/>
    <w:rsid w:val="1D532BBD"/>
    <w:rsid w:val="1DD737EE"/>
    <w:rsid w:val="1F071EB1"/>
    <w:rsid w:val="1F2E48AE"/>
    <w:rsid w:val="20064F82"/>
    <w:rsid w:val="200F4C28"/>
    <w:rsid w:val="202E24AC"/>
    <w:rsid w:val="21EC165C"/>
    <w:rsid w:val="22252D7A"/>
    <w:rsid w:val="231F5A1C"/>
    <w:rsid w:val="23737B15"/>
    <w:rsid w:val="24C86E4F"/>
    <w:rsid w:val="26F40F6D"/>
    <w:rsid w:val="272047A8"/>
    <w:rsid w:val="27635AC1"/>
    <w:rsid w:val="29154D6B"/>
    <w:rsid w:val="29426DB8"/>
    <w:rsid w:val="2A3E2A0C"/>
    <w:rsid w:val="2CE808E6"/>
    <w:rsid w:val="2D220F1B"/>
    <w:rsid w:val="2DC74AB3"/>
    <w:rsid w:val="2E632643"/>
    <w:rsid w:val="2EEB534C"/>
    <w:rsid w:val="2F2A6E19"/>
    <w:rsid w:val="2FE53B49"/>
    <w:rsid w:val="306C66CE"/>
    <w:rsid w:val="31356182"/>
    <w:rsid w:val="314D52FE"/>
    <w:rsid w:val="318F4248"/>
    <w:rsid w:val="322D17D7"/>
    <w:rsid w:val="32D64AF4"/>
    <w:rsid w:val="33CC5BCC"/>
    <w:rsid w:val="33D77C4D"/>
    <w:rsid w:val="34140EA1"/>
    <w:rsid w:val="344352E2"/>
    <w:rsid w:val="35B53A8A"/>
    <w:rsid w:val="36721D28"/>
    <w:rsid w:val="36993366"/>
    <w:rsid w:val="371157DE"/>
    <w:rsid w:val="37C13CC8"/>
    <w:rsid w:val="38284A5E"/>
    <w:rsid w:val="38A30A45"/>
    <w:rsid w:val="39783FBB"/>
    <w:rsid w:val="39B50A30"/>
    <w:rsid w:val="3A717D6E"/>
    <w:rsid w:val="3B027E70"/>
    <w:rsid w:val="3B512C60"/>
    <w:rsid w:val="3BA048D6"/>
    <w:rsid w:val="3C447E49"/>
    <w:rsid w:val="3CE77152"/>
    <w:rsid w:val="3DEF4727"/>
    <w:rsid w:val="3E2D5039"/>
    <w:rsid w:val="3EAD7A03"/>
    <w:rsid w:val="3ED21B5C"/>
    <w:rsid w:val="3F2F6CF2"/>
    <w:rsid w:val="3F4E170B"/>
    <w:rsid w:val="3F56236D"/>
    <w:rsid w:val="3F9B5FD2"/>
    <w:rsid w:val="41810E86"/>
    <w:rsid w:val="419B49AF"/>
    <w:rsid w:val="42B357FF"/>
    <w:rsid w:val="42FF4713"/>
    <w:rsid w:val="43461A6B"/>
    <w:rsid w:val="4629258A"/>
    <w:rsid w:val="47E02B00"/>
    <w:rsid w:val="48342EC4"/>
    <w:rsid w:val="497D05E5"/>
    <w:rsid w:val="4B0B04B0"/>
    <w:rsid w:val="4B9B79A8"/>
    <w:rsid w:val="4C463387"/>
    <w:rsid w:val="4EE11B3C"/>
    <w:rsid w:val="4F8859D7"/>
    <w:rsid w:val="4FD42BD2"/>
    <w:rsid w:val="4FDC288E"/>
    <w:rsid w:val="4FFC2ABD"/>
    <w:rsid w:val="50810226"/>
    <w:rsid w:val="5090516C"/>
    <w:rsid w:val="51F91CE2"/>
    <w:rsid w:val="52BB6C5F"/>
    <w:rsid w:val="52C704DA"/>
    <w:rsid w:val="531377B4"/>
    <w:rsid w:val="53164305"/>
    <w:rsid w:val="54243C95"/>
    <w:rsid w:val="54854A39"/>
    <w:rsid w:val="55170E6A"/>
    <w:rsid w:val="559B337F"/>
    <w:rsid w:val="56DC20EA"/>
    <w:rsid w:val="570D6EAC"/>
    <w:rsid w:val="577B69BD"/>
    <w:rsid w:val="57885AA9"/>
    <w:rsid w:val="57A41351"/>
    <w:rsid w:val="57C933B0"/>
    <w:rsid w:val="590A41CB"/>
    <w:rsid w:val="59613991"/>
    <w:rsid w:val="59D6612D"/>
    <w:rsid w:val="5A2169E8"/>
    <w:rsid w:val="5A225816"/>
    <w:rsid w:val="5B4A6DD2"/>
    <w:rsid w:val="5B991157"/>
    <w:rsid w:val="5C175853"/>
    <w:rsid w:val="5C3E08A4"/>
    <w:rsid w:val="5CA80D3D"/>
    <w:rsid w:val="5CF35248"/>
    <w:rsid w:val="5D517E09"/>
    <w:rsid w:val="5D7054D9"/>
    <w:rsid w:val="5F0E5B21"/>
    <w:rsid w:val="5FC302DD"/>
    <w:rsid w:val="606A034A"/>
    <w:rsid w:val="606E3563"/>
    <w:rsid w:val="614E0FA6"/>
    <w:rsid w:val="61AE798F"/>
    <w:rsid w:val="61F84706"/>
    <w:rsid w:val="62960B4F"/>
    <w:rsid w:val="62C778F2"/>
    <w:rsid w:val="62D0605A"/>
    <w:rsid w:val="63332C29"/>
    <w:rsid w:val="63343E26"/>
    <w:rsid w:val="63F40CEF"/>
    <w:rsid w:val="65646A63"/>
    <w:rsid w:val="658033EF"/>
    <w:rsid w:val="66C81697"/>
    <w:rsid w:val="671A4217"/>
    <w:rsid w:val="674C0B04"/>
    <w:rsid w:val="67535261"/>
    <w:rsid w:val="683706DE"/>
    <w:rsid w:val="68ED6339"/>
    <w:rsid w:val="6AA14535"/>
    <w:rsid w:val="6AF92252"/>
    <w:rsid w:val="6B3B257D"/>
    <w:rsid w:val="6BF72C11"/>
    <w:rsid w:val="6C0854F6"/>
    <w:rsid w:val="6C607508"/>
    <w:rsid w:val="6CE1032F"/>
    <w:rsid w:val="6D7762A4"/>
    <w:rsid w:val="6DA50AF9"/>
    <w:rsid w:val="6F9635F5"/>
    <w:rsid w:val="6F9C53FD"/>
    <w:rsid w:val="6FBE19E1"/>
    <w:rsid w:val="7045748D"/>
    <w:rsid w:val="70531426"/>
    <w:rsid w:val="70F0545C"/>
    <w:rsid w:val="70FF3672"/>
    <w:rsid w:val="712566B3"/>
    <w:rsid w:val="729606F7"/>
    <w:rsid w:val="72E66F89"/>
    <w:rsid w:val="73F7044F"/>
    <w:rsid w:val="744063D9"/>
    <w:rsid w:val="749A6F5B"/>
    <w:rsid w:val="75D55C0A"/>
    <w:rsid w:val="76585CC1"/>
    <w:rsid w:val="76E47C83"/>
    <w:rsid w:val="785077A9"/>
    <w:rsid w:val="78AE45CD"/>
    <w:rsid w:val="78AE49E2"/>
    <w:rsid w:val="79BA4854"/>
    <w:rsid w:val="7A347F71"/>
    <w:rsid w:val="7C6A7EF0"/>
    <w:rsid w:val="7C7862D5"/>
    <w:rsid w:val="7CA51C63"/>
    <w:rsid w:val="7D7D4807"/>
    <w:rsid w:val="7E1B6D74"/>
    <w:rsid w:val="7F68095D"/>
    <w:rsid w:val="7F833DB1"/>
    <w:rsid w:val="7F89586C"/>
    <w:rsid w:val="7F8D3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4">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annotation text"/>
    <w:basedOn w:val="1"/>
    <w:link w:val="23"/>
    <w:qFormat/>
    <w:uiPriority w:val="0"/>
    <w:pPr>
      <w:jc w:val="left"/>
    </w:pPr>
  </w:style>
  <w:style w:type="paragraph" w:styleId="8">
    <w:name w:val="Balloon Text"/>
    <w:basedOn w:val="1"/>
    <w:link w:val="25"/>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7"/>
    <w:next w:val="7"/>
    <w:link w:val="24"/>
    <w:qFormat/>
    <w:uiPriority w:val="0"/>
    <w:rPr>
      <w:b/>
      <w:bCs/>
    </w:rPr>
  </w:style>
  <w:style w:type="paragraph" w:styleId="13">
    <w:name w:val="Body Text First Indent"/>
    <w:basedOn w:val="2"/>
    <w:qFormat/>
    <w:uiPriority w:val="99"/>
    <w:pPr>
      <w:spacing w:after="0" w:line="360" w:lineRule="auto"/>
      <w:ind w:firstLine="420" w:firstLineChars="10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basedOn w:val="16"/>
    <w:qFormat/>
    <w:uiPriority w:val="99"/>
    <w:rPr>
      <w:rFonts w:cs="Times New Roman"/>
      <w:sz w:val="21"/>
      <w:szCs w:val="21"/>
    </w:rPr>
  </w:style>
  <w:style w:type="table" w:customStyle="1" w:styleId="1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0">
    <w:name w:val="列出段落1"/>
    <w:basedOn w:val="1"/>
    <w:qFormat/>
    <w:uiPriority w:val="0"/>
    <w:pPr>
      <w:widowControl/>
      <w:ind w:firstLine="420" w:firstLineChars="200"/>
      <w:jc w:val="left"/>
    </w:pPr>
    <w:rPr>
      <w:rFonts w:ascii="宋体" w:hAnsi="宋体" w:cs="宋体"/>
      <w:kern w:val="0"/>
      <w:sz w:val="24"/>
    </w:rPr>
  </w:style>
  <w:style w:type="paragraph" w:customStyle="1" w:styleId="21">
    <w:name w:val="Table Text"/>
    <w:basedOn w:val="1"/>
    <w:qFormat/>
    <w:uiPriority w:val="0"/>
    <w:rPr>
      <w:rFonts w:ascii="Arial" w:hAnsi="Arial" w:eastAsia="Arial" w:cs="Arial"/>
      <w:sz w:val="18"/>
      <w:szCs w:val="18"/>
      <w:lang w:eastAsia="en-US"/>
    </w:rPr>
  </w:style>
  <w:style w:type="paragraph" w:customStyle="1" w:styleId="22">
    <w:name w:val="方正书宋-正文"/>
    <w:basedOn w:val="1"/>
    <w:qFormat/>
    <w:uiPriority w:val="0"/>
    <w:pPr>
      <w:spacing w:line="300" w:lineRule="exact"/>
      <w:ind w:firstLine="880" w:firstLineChars="200"/>
    </w:pPr>
    <w:rPr>
      <w:rFonts w:ascii="方正书宋简体" w:hAnsi="方正书宋简体" w:eastAsia="方正书宋简体"/>
    </w:rPr>
  </w:style>
  <w:style w:type="character" w:customStyle="1" w:styleId="23">
    <w:name w:val="批注文字 字符"/>
    <w:basedOn w:val="16"/>
    <w:link w:val="7"/>
    <w:qFormat/>
    <w:uiPriority w:val="0"/>
    <w:rPr>
      <w:kern w:val="2"/>
      <w:sz w:val="21"/>
      <w:szCs w:val="24"/>
    </w:rPr>
  </w:style>
  <w:style w:type="character" w:customStyle="1" w:styleId="24">
    <w:name w:val="批注主题 字符"/>
    <w:basedOn w:val="23"/>
    <w:link w:val="12"/>
    <w:qFormat/>
    <w:uiPriority w:val="0"/>
    <w:rPr>
      <w:b/>
      <w:bCs/>
      <w:kern w:val="2"/>
      <w:sz w:val="21"/>
      <w:szCs w:val="24"/>
    </w:rPr>
  </w:style>
  <w:style w:type="character" w:customStyle="1" w:styleId="25">
    <w:name w:val="批注框文本 字符"/>
    <w:basedOn w:val="16"/>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810</Words>
  <Characters>838</Characters>
  <Lines>3022</Lines>
  <Paragraphs>2496</Paragraphs>
  <TotalTime>0</TotalTime>
  <ScaleCrop>false</ScaleCrop>
  <LinksUpToDate>false</LinksUpToDate>
  <CharactersWithSpaces>986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2025-11-13T01:12:27Z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016E04F9F58347B9AF80B0AE2E86BA62_13</vt:lpwstr>
  </property>
  <property fmtid="{D5CDD505-2E9C-101B-9397-08002B2CF9AE}" pid="4" name="KSOTemplateDocerSaveRecord">
    <vt:lpwstr>eyJoZGlkIjoiYjNkNDg1ZmU4YzZmYWI1OTZlODZkMjdkYTMxM2I1MDYiLCJ1c2VySWQiOiIyODMzNjA4MDMifQ==</vt:lpwstr>
  </property>
</Properties>
</file>